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cs="Arial"/>
          <w:sz w:val="20"/>
        </w:rPr>
      </w:pPr>
      <w:r>
        <w:rPr>
          <w:rFonts w:cs="Arial"/>
          <w:sz w:val="20"/>
        </w:rPr>
      </w:r>
    </w:p>
    <w:p>
      <w:pPr>
        <w:pStyle w:val="Normal"/>
        <w:jc w:val="right"/>
        <w:rPr>
          <w:rFonts w:cs="Arial"/>
          <w:sz w:val="20"/>
        </w:rPr>
      </w:pPr>
      <w:r>
        <w:rPr>
          <w:rFonts w:cs="Arial"/>
          <w:sz w:val="20"/>
        </w:rPr>
      </w:r>
    </w:p>
    <w:p>
      <w:pPr>
        <w:pStyle w:val="Normal"/>
        <w:jc w:val="right"/>
        <w:rPr>
          <w:rFonts w:cs="Arial"/>
          <w:sz w:val="20"/>
        </w:rPr>
      </w:pPr>
      <w:r>
        <w:rPr>
          <w:rFonts w:cs="Arial"/>
          <w:sz w:val="20"/>
        </w:rPr>
      </w:r>
    </w:p>
    <w:tbl>
      <w:tblPr>
        <w:tblW w:w="9639"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005"/>
        <w:gridCol w:w="3004"/>
        <w:gridCol w:w="3630"/>
      </w:tblGrid>
      <w:tr>
        <w:trPr>
          <w:trHeight w:val="300" w:hRule="atLeast"/>
        </w:trPr>
        <w:tc>
          <w:tcPr>
            <w:tcW w:w="3005" w:type="dxa"/>
            <w:tcBorders/>
          </w:tcPr>
          <w:p>
            <w:pPr>
              <w:pStyle w:val="Header"/>
              <w:widowControl w:val="false"/>
              <w:ind w:left="-115" w:hanging="0"/>
              <w:rPr>
                <w:rFonts w:cs="Arial"/>
              </w:rPr>
            </w:pPr>
            <w:r>
              <w:rPr/>
              <w:drawing>
                <wp:inline distT="0" distB="0" distL="0" distR="0">
                  <wp:extent cx="1574800" cy="77025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770255"/>
                          </a:xfrm>
                          <a:prstGeom prst="rect">
                            <a:avLst/>
                          </a:prstGeom>
                        </pic:spPr>
                      </pic:pic>
                    </a:graphicData>
                  </a:graphic>
                </wp:inline>
              </w:drawing>
            </w:r>
          </w:p>
        </w:tc>
        <w:tc>
          <w:tcPr>
            <w:tcW w:w="3004" w:type="dxa"/>
            <w:tcBorders/>
          </w:tcPr>
          <w:p>
            <w:pPr>
              <w:pStyle w:val="Header"/>
              <w:widowControl w:val="false"/>
              <w:jc w:val="center"/>
              <w:rPr/>
            </w:pPr>
            <w:r>
              <w:rPr/>
            </w:r>
          </w:p>
        </w:tc>
        <w:tc>
          <w:tcPr>
            <w:tcW w:w="3630" w:type="dxa"/>
            <w:tcBorders/>
          </w:tcPr>
          <w:p>
            <w:pPr>
              <w:pStyle w:val="Header"/>
              <w:widowControl w:val="false"/>
              <w:jc w:val="right"/>
              <w:rPr>
                <w:rFonts w:cs="Arial"/>
              </w:rPr>
            </w:pPr>
            <w:r>
              <w:rPr>
                <w:rFonts w:cs="Arial"/>
              </w:rPr>
              <w:t>60 Bradford Road</w:t>
            </w:r>
          </w:p>
          <w:p>
            <w:pPr>
              <w:pStyle w:val="Header"/>
              <w:widowControl w:val="false"/>
              <w:jc w:val="right"/>
              <w:rPr>
                <w:rFonts w:cs="Arial"/>
              </w:rPr>
            </w:pPr>
            <w:r>
              <w:rPr>
                <w:rFonts w:cs="Arial"/>
              </w:rPr>
              <w:t>Huddersfield</w:t>
            </w:r>
          </w:p>
          <w:p>
            <w:pPr>
              <w:pStyle w:val="Header"/>
              <w:widowControl w:val="false"/>
              <w:jc w:val="right"/>
              <w:rPr>
                <w:rFonts w:cs="Arial"/>
              </w:rPr>
            </w:pPr>
            <w:r>
              <w:rPr>
                <w:rFonts w:cs="Arial"/>
              </w:rPr>
              <w:t>HD1 6JE</w:t>
            </w:r>
          </w:p>
          <w:p>
            <w:pPr>
              <w:pStyle w:val="Header"/>
              <w:widowControl w:val="false"/>
              <w:jc w:val="right"/>
              <w:rPr>
                <w:rFonts w:cs="Arial"/>
              </w:rPr>
            </w:pPr>
            <w:r>
              <w:rPr>
                <w:rFonts w:cs="Arial"/>
              </w:rPr>
              <w:t>Tel: 01484 531964</w:t>
            </w:r>
          </w:p>
          <w:p>
            <w:pPr>
              <w:pStyle w:val="Header"/>
              <w:widowControl w:val="false"/>
              <w:jc w:val="right"/>
              <w:rPr>
                <w:rFonts w:ascii="Calibri" w:hAnsi="Calibri" w:cs="" w:asciiTheme="minorHAnsi" w:cstheme="minorBidi" w:hAnsiTheme="minorHAnsi"/>
                <w:sz w:val="22"/>
                <w:szCs w:val="22"/>
              </w:rPr>
            </w:pPr>
            <w:r>
              <w:rPr>
                <w:rFonts w:cs="Arial"/>
              </w:rPr>
              <w:t>Email: huddsdental@outlook.com</w:t>
            </w:r>
          </w:p>
          <w:p>
            <w:pPr>
              <w:pStyle w:val="Header"/>
              <w:widowControl w:val="false"/>
              <w:ind w:right="-115" w:hanging="0"/>
              <w:jc w:val="right"/>
              <w:rPr/>
            </w:pPr>
            <w:r>
              <w:rPr/>
            </w:r>
          </w:p>
        </w:tc>
      </w:tr>
    </w:tbl>
    <w:p>
      <w:pPr>
        <w:pStyle w:val="Normal"/>
        <w:rPr>
          <w:rFonts w:cs="Arial"/>
          <w:sz w:val="20"/>
        </w:rPr>
      </w:pPr>
      <w:r>
        <w:rPr>
          <w:rFonts w:cs="Arial"/>
          <w:sz w:val="20"/>
        </w:rPr>
      </w:r>
    </w:p>
    <w:p>
      <w:pPr>
        <w:pStyle w:val="Normal"/>
        <w:jc w:val="right"/>
        <w:rPr>
          <w:rFonts w:cs="Arial"/>
          <w:sz w:val="20"/>
        </w:rPr>
      </w:pPr>
      <w:r>
        <w:rPr>
          <w:rFonts w:cs="Arial"/>
          <w:sz w:val="20"/>
        </w:rPr>
        <w:t>Updated:</w:t>
      </w:r>
      <w:r>
        <w:rPr>
          <w:rFonts w:cs="Arial"/>
          <w:sz w:val="20"/>
        </w:rPr>
        <w:t>17</w:t>
      </w:r>
      <w:r>
        <w:rPr>
          <w:rFonts w:cs="Arial"/>
          <w:sz w:val="20"/>
        </w:rPr>
        <w:t>.</w:t>
      </w:r>
      <w:r>
        <w:rPr>
          <w:rFonts w:cs="Arial"/>
          <w:sz w:val="20"/>
        </w:rPr>
        <w:t>08</w:t>
      </w:r>
      <w:r>
        <w:rPr>
          <w:rFonts w:cs="Arial"/>
          <w:sz w:val="20"/>
        </w:rPr>
        <w:t>.202</w:t>
      </w:r>
      <w:r>
        <w:rPr>
          <w:rFonts w:cs="Arial"/>
          <w:sz w:val="20"/>
        </w:rPr>
        <w:t>6</w:t>
      </w:r>
    </w:p>
    <w:p>
      <w:pPr>
        <w:pStyle w:val="Normal"/>
        <w:jc w:val="center"/>
        <w:rPr>
          <w:rFonts w:ascii="Calibri" w:hAnsi="Calibri" w:cs="" w:asciiTheme="minorHAnsi" w:cstheme="minorBidi" w:hAnsiTheme="minorHAnsi"/>
          <w:szCs w:val="22"/>
        </w:rPr>
      </w:pPr>
      <w:r>
        <w:rPr>
          <w:rFonts w:cs="Arial"/>
          <w:sz w:val="20"/>
        </w:rPr>
        <w:t xml:space="preserve">                                                                                                                 </w:t>
      </w:r>
      <w:r>
        <w:rPr>
          <w:rFonts w:cs="Arial"/>
          <w:sz w:val="20"/>
        </w:rPr>
        <w:t>Reviewed:</w:t>
      </w:r>
    </w:p>
    <w:p>
      <w:pPr>
        <w:pStyle w:val="TextBody"/>
        <w:jc w:val="left"/>
        <w:rPr>
          <w:rFonts w:cs="Arial"/>
          <w:bCs/>
          <w:szCs w:val="22"/>
        </w:rPr>
      </w:pPr>
      <w:r>
        <w:rPr>
          <w:rFonts w:cs="Arial"/>
          <w:bCs/>
          <w:szCs w:val="22"/>
        </w:rPr>
      </w:r>
    </w:p>
    <w:p>
      <w:pPr>
        <w:pStyle w:val="Heading2"/>
        <w:jc w:val="center"/>
        <w:rPr>
          <w:rFonts w:ascii="Arial" w:hAnsi="Arial" w:cs="Arial"/>
          <w:bCs/>
          <w:sz w:val="24"/>
          <w:szCs w:val="24"/>
          <w:u w:val="single"/>
        </w:rPr>
      </w:pPr>
      <w:r>
        <w:rPr>
          <w:rFonts w:cs="Arial" w:ascii="Arial" w:hAnsi="Arial"/>
          <w:bCs/>
          <w:sz w:val="24"/>
          <w:szCs w:val="24"/>
          <w:u w:val="single"/>
        </w:rPr>
        <w:t xml:space="preserve">Records Management Policy </w:t>
      </w:r>
      <w:bookmarkStart w:id="0" w:name="_GoBack"/>
      <w:bookmarkEnd w:id="0"/>
    </w:p>
    <w:p>
      <w:pPr>
        <w:pStyle w:val="Normal"/>
        <w:rPr>
          <w:rFonts w:cs="Arial"/>
          <w:sz w:val="24"/>
          <w:szCs w:val="24"/>
        </w:rPr>
      </w:pPr>
      <w:r>
        <w:rPr>
          <w:rFonts w:cs="Arial"/>
          <w:sz w:val="24"/>
          <w:szCs w:val="24"/>
        </w:rPr>
      </w:r>
    </w:p>
    <w:p>
      <w:pPr>
        <w:pStyle w:val="Normal"/>
        <w:ind w:right="43" w:hanging="0"/>
        <w:rPr>
          <w:rFonts w:cs="Arial"/>
          <w:color w:val="000000" w:themeColor="text1"/>
          <w:sz w:val="20"/>
        </w:rPr>
      </w:pPr>
      <w:r>
        <w:rPr>
          <w:rFonts w:cs="Arial"/>
          <w:iCs/>
          <w:color w:val="000000" w:themeColor="text1"/>
          <w:sz w:val="20"/>
        </w:rPr>
        <w:t>This</w:t>
      </w:r>
      <w:r>
        <w:rPr>
          <w:rFonts w:cs="Arial"/>
          <w:color w:val="000000" w:themeColor="text1"/>
          <w:sz w:val="20"/>
        </w:rPr>
        <w:t xml:space="preserve"> dental practice holds and maintains information about the business and its patients that is necessary for the efficient running of the practice and the effective provision of dental care. This policy describes the information that must be kept, how it must be stored, archived and disposed of to ensure that the practice complies with the requirements of data protection legislation. </w:t>
      </w:r>
    </w:p>
    <w:p>
      <w:pPr>
        <w:pStyle w:val="TextBody"/>
        <w:jc w:val="left"/>
        <w:rPr>
          <w:rFonts w:cs="Arial"/>
          <w:bCs/>
          <w:color w:val="000000" w:themeColor="text1"/>
          <w:sz w:val="20"/>
        </w:rPr>
      </w:pPr>
      <w:r>
        <w:rPr>
          <w:rFonts w:cs="Arial"/>
          <w:bCs/>
          <w:color w:val="000000" w:themeColor="text1"/>
          <w:sz w:val="20"/>
        </w:rPr>
      </w:r>
    </w:p>
    <w:p>
      <w:pPr>
        <w:pStyle w:val="Normal"/>
        <w:tabs>
          <w:tab w:val="clear" w:pos="720"/>
          <w:tab w:val="left" w:pos="0" w:leader="none"/>
        </w:tabs>
        <w:suppressAutoHyphens w:val="true"/>
        <w:rPr>
          <w:rFonts w:cs="Arial"/>
          <w:color w:val="000000" w:themeColor="text1"/>
          <w:sz w:val="20"/>
        </w:rPr>
      </w:pPr>
      <w:r>
        <w:rPr>
          <w:rFonts w:cs="Arial"/>
          <w:color w:val="000000" w:themeColor="text1"/>
          <w:sz w:val="20"/>
        </w:rPr>
        <w:t xml:space="preserve">The practice </w:t>
      </w:r>
      <w:r>
        <w:rPr>
          <w:rFonts w:cs="Arial"/>
          <w:b/>
          <w:color w:val="000000" w:themeColor="text1"/>
          <w:sz w:val="20"/>
        </w:rPr>
        <w:t>Confidentiality policy</w:t>
      </w:r>
      <w:r>
        <w:rPr>
          <w:rFonts w:cs="Arial"/>
          <w:color w:val="000000" w:themeColor="text1"/>
          <w:sz w:val="20"/>
        </w:rPr>
        <w:t xml:space="preserve"> describes the need for all members of the dental team to keep patient information confidential and practice procedures for handling information about patients; it must be followed always. The arrangements for keeping information safe are described in the practice </w:t>
      </w:r>
      <w:r>
        <w:rPr>
          <w:rFonts w:cs="Arial"/>
          <w:b/>
          <w:color w:val="000000" w:themeColor="text1"/>
          <w:sz w:val="20"/>
        </w:rPr>
        <w:t>Data security policy</w:t>
      </w:r>
      <w:r>
        <w:rPr>
          <w:rFonts w:cs="Arial"/>
          <w:color w:val="000000" w:themeColor="text1"/>
          <w:sz w:val="20"/>
        </w:rPr>
        <w:t xml:space="preserve">, which includes the measures for physical and electronic security. </w:t>
      </w:r>
    </w:p>
    <w:p>
      <w:pPr>
        <w:pStyle w:val="Normal"/>
        <w:rPr>
          <w:rFonts w:cs="Arial"/>
          <w:color w:val="000000" w:themeColor="text1"/>
          <w:sz w:val="20"/>
        </w:rPr>
      </w:pPr>
      <w:r>
        <w:rPr>
          <w:rFonts w:cs="Arial"/>
          <w:color w:val="000000" w:themeColor="text1"/>
          <w:sz w:val="20"/>
        </w:rPr>
      </w:r>
    </w:p>
    <w:p>
      <w:pPr>
        <w:pStyle w:val="Normal"/>
        <w:tabs>
          <w:tab w:val="clear" w:pos="720"/>
          <w:tab w:val="left" w:pos="0" w:leader="none"/>
        </w:tabs>
        <w:suppressAutoHyphens w:val="true"/>
        <w:rPr>
          <w:rFonts w:cs="Arial"/>
          <w:color w:val="000000" w:themeColor="text1"/>
          <w:sz w:val="20"/>
        </w:rPr>
      </w:pPr>
      <w:r>
        <w:rPr>
          <w:rFonts w:cs="Arial"/>
          <w:color w:val="000000" w:themeColor="text1"/>
          <w:sz w:val="20"/>
        </w:rPr>
        <w:t xml:space="preserve">The practice Privacy Notice for patients helps them understand how the practice uses and protects their personal information. </w:t>
      </w:r>
    </w:p>
    <w:p>
      <w:pPr>
        <w:pStyle w:val="Normal"/>
        <w:tabs>
          <w:tab w:val="clear" w:pos="720"/>
          <w:tab w:val="left" w:pos="0" w:leader="none"/>
        </w:tabs>
        <w:suppressAutoHyphens w:val="true"/>
        <w:rPr>
          <w:rFonts w:cs="Arial"/>
          <w:color w:val="000000" w:themeColor="text1"/>
          <w:sz w:val="20"/>
        </w:rPr>
      </w:pPr>
      <w:r>
        <w:rPr>
          <w:rFonts w:cs="Arial"/>
          <w:color w:val="000000" w:themeColor="text1"/>
          <w:sz w:val="20"/>
        </w:rPr>
      </w:r>
    </w:p>
    <w:p>
      <w:pPr>
        <w:pStyle w:val="Heading1"/>
        <w:rPr>
          <w:rFonts w:ascii="Arial" w:hAnsi="Arial" w:cs="Arial"/>
          <w:color w:val="000000" w:themeColor="text1"/>
          <w:sz w:val="20"/>
        </w:rPr>
      </w:pPr>
      <w:r>
        <w:rPr>
          <w:rFonts w:cs="Arial" w:ascii="Arial" w:hAnsi="Arial"/>
          <w:color w:val="000000" w:themeColor="text1"/>
          <w:sz w:val="20"/>
        </w:rPr>
        <w:t>Retaining information</w:t>
      </w:r>
    </w:p>
    <w:p>
      <w:pPr>
        <w:pStyle w:val="Normal"/>
        <w:rPr>
          <w:rFonts w:cs="Arial"/>
          <w:color w:val="000000" w:themeColor="text1"/>
          <w:sz w:val="20"/>
        </w:rPr>
      </w:pPr>
      <w:r>
        <w:rPr>
          <w:rFonts w:cs="Arial"/>
          <w:color w:val="000000" w:themeColor="text1"/>
          <w:sz w:val="20"/>
        </w:rPr>
        <w:t xml:space="preserve">Information about the business and its patients is kept for no longer than required. </w:t>
      </w:r>
    </w:p>
    <w:p>
      <w:pPr>
        <w:pStyle w:val="Normal"/>
        <w:rPr>
          <w:rFonts w:cs="Arial"/>
          <w:color w:val="000000" w:themeColor="text1"/>
          <w:sz w:val="20"/>
        </w:rPr>
      </w:pPr>
      <w:r>
        <w:rPr>
          <w:rFonts w:cs="Arial"/>
          <w:color w:val="000000" w:themeColor="text1"/>
          <w:sz w:val="20"/>
        </w:rPr>
      </w:r>
    </w:p>
    <w:p>
      <w:pPr>
        <w:pStyle w:val="Normal"/>
        <w:numPr>
          <w:ilvl w:val="0"/>
          <w:numId w:val="1"/>
        </w:numPr>
        <w:rPr>
          <w:rFonts w:cs="Arial"/>
          <w:color w:val="000000" w:themeColor="text1"/>
          <w:sz w:val="20"/>
        </w:rPr>
      </w:pPr>
      <w:r>
        <w:rPr>
          <w:rFonts w:cs="Arial"/>
          <w:b/>
          <w:color w:val="000000" w:themeColor="text1"/>
          <w:sz w:val="20"/>
        </w:rPr>
        <w:t>Patient records</w:t>
      </w:r>
      <w:r>
        <w:rPr>
          <w:rFonts w:cs="Arial"/>
          <w:color w:val="000000" w:themeColor="text1"/>
          <w:sz w:val="20"/>
        </w:rPr>
        <w:t xml:space="preserve"> are maintained and kept up to date while the individual remains a practice patient. When they cease to be a patient of the practice, their records are retained for 11 years following their last visit to the practice or until age of 25, whichever is the longer. </w:t>
      </w:r>
    </w:p>
    <w:p>
      <w:pPr>
        <w:pStyle w:val="Normal"/>
        <w:numPr>
          <w:ilvl w:val="0"/>
          <w:numId w:val="1"/>
        </w:numPr>
        <w:rPr>
          <w:rFonts w:cs="Arial"/>
          <w:color w:val="000000" w:themeColor="text1"/>
          <w:sz w:val="20"/>
        </w:rPr>
      </w:pPr>
      <w:r>
        <w:rPr>
          <w:rFonts w:cs="Arial"/>
          <w:b/>
          <w:color w:val="000000" w:themeColor="text1"/>
          <w:sz w:val="20"/>
        </w:rPr>
        <w:t>Personnel and associate records</w:t>
      </w:r>
      <w:r>
        <w:rPr>
          <w:rFonts w:cs="Arial"/>
          <w:color w:val="000000" w:themeColor="text1"/>
          <w:sz w:val="20"/>
        </w:rPr>
        <w:t xml:space="preserve"> are maintained and kept up to date whilst the individual works at the practice as an employee or self-employed contractor. Following their departure from the practice their records are retained for six years from the date of leaving the practice. Records relating to workplace accidents or injuries are retained indefinitely. Records for associates are kept for up to eight years.</w:t>
      </w:r>
    </w:p>
    <w:p>
      <w:pPr>
        <w:pStyle w:val="Normal"/>
        <w:numPr>
          <w:ilvl w:val="0"/>
          <w:numId w:val="1"/>
        </w:numPr>
        <w:rPr>
          <w:rFonts w:cs="Arial"/>
          <w:color w:val="000000" w:themeColor="text1"/>
          <w:sz w:val="20"/>
        </w:rPr>
      </w:pPr>
      <w:r>
        <w:rPr>
          <w:rFonts w:cs="Arial"/>
          <w:b/>
          <w:color w:val="000000" w:themeColor="text1"/>
          <w:sz w:val="20"/>
        </w:rPr>
        <w:t>Financial records</w:t>
      </w:r>
      <w:r>
        <w:rPr>
          <w:rFonts w:cs="Arial"/>
          <w:color w:val="000000" w:themeColor="text1"/>
          <w:sz w:val="20"/>
        </w:rPr>
        <w:t xml:space="preserve"> are retained for at least six years. </w:t>
      </w:r>
    </w:p>
    <w:p>
      <w:pPr>
        <w:pStyle w:val="Normal"/>
        <w:numPr>
          <w:ilvl w:val="0"/>
          <w:numId w:val="1"/>
        </w:numPr>
        <w:rPr>
          <w:rFonts w:cs="Arial"/>
          <w:color w:val="000000" w:themeColor="text1"/>
          <w:sz w:val="20"/>
        </w:rPr>
      </w:pPr>
      <w:r>
        <w:rPr>
          <w:rFonts w:cs="Arial"/>
          <w:b/>
          <w:color w:val="000000" w:themeColor="text1"/>
          <w:sz w:val="20"/>
        </w:rPr>
        <w:t>Business records</w:t>
      </w:r>
      <w:r>
        <w:rPr>
          <w:rFonts w:cs="Arial"/>
          <w:color w:val="000000" w:themeColor="text1"/>
          <w:sz w:val="20"/>
        </w:rPr>
        <w:t xml:space="preserve">, including contracts with suppliers, are retained for at least six years. </w:t>
      </w:r>
    </w:p>
    <w:p>
      <w:pPr>
        <w:pStyle w:val="Normal"/>
        <w:ind w:left="360" w:hanging="0"/>
        <w:rPr>
          <w:rFonts w:cs="Arial"/>
          <w:color w:val="000000" w:themeColor="text1"/>
          <w:sz w:val="20"/>
        </w:rPr>
      </w:pPr>
      <w:r>
        <w:rPr>
          <w:rFonts w:cs="Arial"/>
          <w:color w:val="000000" w:themeColor="text1"/>
          <w:sz w:val="20"/>
        </w:rPr>
      </w:r>
    </w:p>
    <w:p>
      <w:pPr>
        <w:pStyle w:val="Heading1"/>
        <w:rPr>
          <w:rFonts w:ascii="Arial" w:hAnsi="Arial" w:cs="Arial"/>
          <w:color w:val="000000" w:themeColor="text1"/>
          <w:sz w:val="20"/>
        </w:rPr>
      </w:pPr>
      <w:r>
        <w:rPr>
          <w:rFonts w:cs="Arial" w:ascii="Arial" w:hAnsi="Arial"/>
          <w:color w:val="000000" w:themeColor="text1"/>
          <w:sz w:val="20"/>
        </w:rPr>
        <w:t>Secure storage</w:t>
      </w:r>
    </w:p>
    <w:p>
      <w:pPr>
        <w:pStyle w:val="Normal"/>
        <w:rPr>
          <w:rFonts w:cs="Arial"/>
          <w:color w:val="000000" w:themeColor="text1"/>
          <w:sz w:val="20"/>
        </w:rPr>
      </w:pPr>
      <w:r>
        <w:rPr>
          <w:rFonts w:cs="Arial"/>
          <w:color w:val="000000" w:themeColor="text1"/>
          <w:sz w:val="20"/>
        </w:rPr>
        <w:t xml:space="preserve">All members of the team must protect information held by the practice and store it securely. Information is only accessed on a need-to-know basis: where it is necessary to carry out required tasks; in the delivery of care to patients; or upon the direct instruction of a senior person within the practice. </w:t>
      </w:r>
    </w:p>
    <w:p>
      <w:pPr>
        <w:pStyle w:val="Normal"/>
        <w:rPr>
          <w:rFonts w:cs="Arial"/>
          <w:color w:val="000000" w:themeColor="text1"/>
          <w:sz w:val="20"/>
        </w:rPr>
      </w:pPr>
      <w:r>
        <w:rPr>
          <w:rFonts w:cs="Arial"/>
          <w:color w:val="000000" w:themeColor="text1"/>
          <w:sz w:val="20"/>
        </w:rPr>
      </w:r>
    </w:p>
    <w:p>
      <w:pPr>
        <w:pStyle w:val="Normal"/>
        <w:rPr>
          <w:rFonts w:cs="Arial"/>
          <w:color w:val="000000" w:themeColor="text1"/>
          <w:sz w:val="20"/>
        </w:rPr>
      </w:pPr>
      <w:r>
        <w:rPr>
          <w:rFonts w:cs="Arial"/>
          <w:color w:val="000000" w:themeColor="text1"/>
          <w:sz w:val="20"/>
        </w:rPr>
        <w:t xml:space="preserve">For records held electronically, access is password protected and restricted to those who, as part of their work duties, require the information. Electronic records are regularly backed-up by Mr Harun Hussain and the backups are stored off-site in a physically secure location. (Comart Group Ltd 01709 363418) </w:t>
      </w:r>
    </w:p>
    <w:p>
      <w:pPr>
        <w:pStyle w:val="Normal"/>
        <w:rPr>
          <w:rFonts w:cs="Arial"/>
          <w:color w:val="000000" w:themeColor="text1"/>
          <w:sz w:val="20"/>
        </w:rPr>
      </w:pPr>
      <w:r>
        <w:rPr>
          <w:rFonts w:cs="Arial"/>
          <w:color w:val="000000" w:themeColor="text1"/>
          <w:sz w:val="20"/>
        </w:rPr>
      </w:r>
    </w:p>
    <w:p>
      <w:pPr>
        <w:pStyle w:val="Normal"/>
        <w:rPr>
          <w:rFonts w:cs="Arial"/>
          <w:color w:val="000000" w:themeColor="text1"/>
          <w:sz w:val="20"/>
        </w:rPr>
      </w:pPr>
      <w:r>
        <w:rPr>
          <w:rFonts w:cs="Arial"/>
          <w:color w:val="000000" w:themeColor="text1"/>
          <w:sz w:val="20"/>
        </w:rPr>
        <w:t>Non-electronic (paper) records are stored in a location that is not accessible to patients, visitors to the practice or other members of the public. To ensure that patient record cards, financial information and personnel records are stored securely they must be kept in lockable cabinets at the end of each working day and the keys retained by Mrs Julie Dawson and Mr Harun Hussain.</w:t>
      </w:r>
    </w:p>
    <w:p>
      <w:pPr>
        <w:pStyle w:val="Normal"/>
        <w:rPr>
          <w:rFonts w:cs="Arial"/>
          <w:color w:val="000000" w:themeColor="text1"/>
          <w:sz w:val="20"/>
        </w:rPr>
      </w:pPr>
      <w:r>
        <w:rPr>
          <w:rFonts w:cs="Arial"/>
          <w:color w:val="000000" w:themeColor="text1"/>
          <w:sz w:val="20"/>
        </w:rPr>
      </w:r>
    </w:p>
    <w:p>
      <w:pPr>
        <w:pStyle w:val="Normal"/>
        <w:rPr>
          <w:rFonts w:cs="Arial"/>
          <w:color w:val="000000" w:themeColor="text1"/>
          <w:sz w:val="20"/>
        </w:rPr>
      </w:pPr>
      <w:r>
        <w:rPr>
          <w:rFonts w:cs="Arial"/>
          <w:color w:val="000000" w:themeColor="text1"/>
          <w:sz w:val="20"/>
        </w:rPr>
        <w:t>Most records are now on the computer however we still have paper records for patients which can be shredded in 2023 unless they are under 25. (currently stored in the cellar)</w:t>
      </w:r>
    </w:p>
    <w:p>
      <w:pPr>
        <w:pStyle w:val="Normal"/>
        <w:rPr>
          <w:rFonts w:cs="Arial"/>
          <w:color w:val="000000" w:themeColor="text1"/>
          <w:sz w:val="20"/>
        </w:rPr>
      </w:pPr>
      <w:r>
        <w:rPr>
          <w:rFonts w:cs="Arial"/>
          <w:color w:val="000000" w:themeColor="text1"/>
          <w:sz w:val="20"/>
        </w:rPr>
      </w:r>
    </w:p>
    <w:p>
      <w:pPr>
        <w:pStyle w:val="Normal"/>
        <w:rPr>
          <w:rFonts w:cs="Arial"/>
          <w:color w:val="000000" w:themeColor="text1"/>
          <w:sz w:val="20"/>
        </w:rPr>
      </w:pPr>
      <w:r>
        <w:rPr>
          <w:rFonts w:cs="Arial"/>
          <w:color w:val="000000" w:themeColor="text1"/>
          <w:sz w:val="20"/>
        </w:rPr>
        <w:t xml:space="preserve">Financial information and personnel records are stored securely practice manager’s office. </w:t>
      </w:r>
    </w:p>
    <w:p>
      <w:pPr>
        <w:pStyle w:val="Normal"/>
        <w:rPr>
          <w:rFonts w:cs="Arial"/>
          <w:color w:val="000000" w:themeColor="text1"/>
          <w:sz w:val="20"/>
        </w:rPr>
      </w:pPr>
      <w:r>
        <w:rPr>
          <w:rFonts w:cs="Arial"/>
          <w:color w:val="000000" w:themeColor="text1"/>
          <w:sz w:val="20"/>
        </w:rPr>
      </w:r>
    </w:p>
    <w:p>
      <w:pPr>
        <w:pStyle w:val="Heading1"/>
        <w:rPr>
          <w:rFonts w:ascii="Arial" w:hAnsi="Arial" w:cs="Arial"/>
          <w:sz w:val="20"/>
        </w:rPr>
      </w:pPr>
      <w:r>
        <w:rPr>
          <w:rFonts w:cs="Arial" w:ascii="Arial" w:hAnsi="Arial"/>
          <w:sz w:val="20"/>
        </w:rPr>
        <w:t>Data accuracy procedures</w:t>
      </w:r>
    </w:p>
    <w:p>
      <w:pPr>
        <w:pStyle w:val="Normal"/>
        <w:rPr/>
      </w:pPr>
      <w:r>
        <w:rPr/>
      </w:r>
    </w:p>
    <w:p>
      <w:pPr>
        <w:pStyle w:val="Normal"/>
        <w:rPr>
          <w:rFonts w:cs="Arial"/>
          <w:sz w:val="20"/>
        </w:rPr>
      </w:pPr>
      <w:r>
        <w:rPr>
          <w:rFonts w:cs="Arial"/>
          <w:sz w:val="20"/>
        </w:rPr>
        <w:t xml:space="preserve">To ensure that all information recorded at the practice is accurate, we check that it is: </w:t>
      </w:r>
    </w:p>
    <w:p>
      <w:pPr>
        <w:pStyle w:val="Normal"/>
        <w:rPr>
          <w:rFonts w:cs="Arial"/>
          <w:sz w:val="20"/>
        </w:rPr>
      </w:pPr>
      <w:r>
        <w:rPr>
          <w:rFonts w:cs="Arial"/>
          <w:sz w:val="20"/>
        </w:rPr>
      </w:r>
    </w:p>
    <w:p>
      <w:pPr>
        <w:pStyle w:val="Normal"/>
        <w:numPr>
          <w:ilvl w:val="0"/>
          <w:numId w:val="2"/>
        </w:numPr>
        <w:rPr>
          <w:rFonts w:cs="Arial"/>
          <w:sz w:val="20"/>
        </w:rPr>
      </w:pPr>
      <w:r>
        <w:rPr>
          <w:rFonts w:cs="Arial"/>
          <w:sz w:val="20"/>
        </w:rPr>
        <w:t xml:space="preserve">Authentic – the information was created by individual who ‘signed’ the record and at the time claimed. Staff use their personal profiles to enter information. </w:t>
      </w:r>
    </w:p>
    <w:p>
      <w:pPr>
        <w:pStyle w:val="Normal"/>
        <w:numPr>
          <w:ilvl w:val="0"/>
          <w:numId w:val="2"/>
        </w:numPr>
        <w:rPr>
          <w:rFonts w:cs="Arial"/>
          <w:sz w:val="20"/>
        </w:rPr>
      </w:pPr>
      <w:r>
        <w:rPr>
          <w:rFonts w:cs="Arial"/>
          <w:sz w:val="20"/>
        </w:rPr>
        <w:t xml:space="preserve">Reliable – the information is complete and accurate and was created at the time of or as close as possible to the event and by those involved </w:t>
      </w:r>
    </w:p>
    <w:p>
      <w:pPr>
        <w:pStyle w:val="Normal"/>
        <w:numPr>
          <w:ilvl w:val="0"/>
          <w:numId w:val="2"/>
        </w:numPr>
        <w:rPr>
          <w:rFonts w:cs="Arial"/>
          <w:sz w:val="20"/>
        </w:rPr>
      </w:pPr>
      <w:r>
        <w:rPr>
          <w:rFonts w:cs="Arial"/>
          <w:sz w:val="20"/>
        </w:rPr>
        <w:t xml:space="preserve">Integrity – The information is complete and unaltered; any alterations are clearly marked and identify the person who made them </w:t>
      </w:r>
    </w:p>
    <w:p>
      <w:pPr>
        <w:pStyle w:val="Normal"/>
        <w:numPr>
          <w:ilvl w:val="0"/>
          <w:numId w:val="2"/>
        </w:numPr>
        <w:rPr>
          <w:rFonts w:cs="Arial"/>
          <w:sz w:val="20"/>
        </w:rPr>
      </w:pPr>
      <w:r>
        <w:rPr>
          <w:rFonts w:cs="Arial"/>
          <w:sz w:val="20"/>
        </w:rPr>
        <w:t xml:space="preserve">Useable – The information can be located when needed. The practice system for storing information is followed routinely. </w:t>
      </w:r>
    </w:p>
    <w:p>
      <w:pPr>
        <w:pStyle w:val="Heading2"/>
        <w:rPr>
          <w:rFonts w:ascii="Arial" w:hAnsi="Arial" w:cs="Arial"/>
          <w:sz w:val="20"/>
        </w:rPr>
      </w:pPr>
      <w:r>
        <w:rPr>
          <w:rFonts w:cs="Arial" w:ascii="Arial" w:hAnsi="Arial"/>
          <w:sz w:val="20"/>
        </w:rPr>
        <w:t xml:space="preserve">Purpose </w:t>
      </w:r>
    </w:p>
    <w:p>
      <w:pPr>
        <w:pStyle w:val="Normal"/>
        <w:rPr>
          <w:rFonts w:cs="Arial"/>
          <w:sz w:val="20"/>
        </w:rPr>
      </w:pPr>
      <w:r>
        <w:rPr>
          <w:rFonts w:cs="Arial"/>
          <w:sz w:val="20"/>
        </w:rPr>
        <w:t>The principal purpose of patient records is to record and communicate information about the individual and their care. The records provide an accurate, complete and contemporaneous record and include the patient’s information, oral health status, treatment options discussed and the decisions taken. The principal purpose of staff records is to record employment details for payroll and business planning purposes.</w:t>
      </w:r>
    </w:p>
    <w:p>
      <w:pPr>
        <w:pStyle w:val="Normal"/>
        <w:rPr>
          <w:rFonts w:cs="Arial"/>
          <w:sz w:val="20"/>
          <w:u w:val="single"/>
        </w:rPr>
      </w:pPr>
      <w:r>
        <w:rPr>
          <w:rFonts w:cs="Arial"/>
          <w:sz w:val="20"/>
          <w:u w:val="single"/>
        </w:rPr>
      </w:r>
    </w:p>
    <w:p>
      <w:pPr>
        <w:pStyle w:val="Normal"/>
        <w:rPr>
          <w:rFonts w:cs="Arial"/>
          <w:sz w:val="20"/>
        </w:rPr>
      </w:pPr>
      <w:r>
        <w:rPr>
          <w:rFonts w:cs="Arial"/>
          <w:sz w:val="20"/>
        </w:rPr>
        <w:t xml:space="preserve">To fulfil these purposes, we: </w:t>
      </w:r>
    </w:p>
    <w:p>
      <w:pPr>
        <w:pStyle w:val="Normal"/>
        <w:rPr>
          <w:rFonts w:cs="Arial"/>
          <w:sz w:val="20"/>
          <w:u w:val="single"/>
        </w:rPr>
      </w:pPr>
      <w:r>
        <w:rPr>
          <w:rFonts w:cs="Arial"/>
          <w:sz w:val="20"/>
          <w:u w:val="single"/>
        </w:rPr>
      </w:r>
    </w:p>
    <w:p>
      <w:pPr>
        <w:pStyle w:val="Normal"/>
        <w:numPr>
          <w:ilvl w:val="0"/>
          <w:numId w:val="3"/>
        </w:numPr>
        <w:ind w:left="360" w:hanging="360"/>
        <w:rPr>
          <w:rFonts w:cs="Arial"/>
          <w:sz w:val="20"/>
          <w:u w:val="single"/>
        </w:rPr>
      </w:pPr>
      <w:r>
        <w:rPr>
          <w:rFonts w:cs="Arial"/>
          <w:sz w:val="20"/>
        </w:rPr>
        <w:t>Use standardised layouts for the contents of records, software used from 17.4.2023 is Dentally</w:t>
      </w:r>
    </w:p>
    <w:p>
      <w:pPr>
        <w:pStyle w:val="Normal"/>
        <w:numPr>
          <w:ilvl w:val="0"/>
          <w:numId w:val="3"/>
        </w:numPr>
        <w:ind w:left="360" w:hanging="360"/>
        <w:rPr>
          <w:rFonts w:cs="Arial"/>
          <w:sz w:val="20"/>
          <w:u w:val="single"/>
        </w:rPr>
      </w:pPr>
      <w:r>
        <w:rPr>
          <w:rFonts w:cs="Arial"/>
          <w:sz w:val="20"/>
        </w:rPr>
        <w:t>Ensure documentation reflects the full range of care, that all care is person centred and that care records are viewable in chronological order</w:t>
      </w:r>
    </w:p>
    <w:p>
      <w:pPr>
        <w:pStyle w:val="Normal"/>
        <w:numPr>
          <w:ilvl w:val="0"/>
          <w:numId w:val="3"/>
        </w:numPr>
        <w:ind w:left="360" w:hanging="360"/>
        <w:rPr>
          <w:rFonts w:cs="Arial"/>
          <w:sz w:val="20"/>
        </w:rPr>
      </w:pPr>
      <w:r>
        <w:rPr>
          <w:rFonts w:cs="Arial"/>
          <w:sz w:val="20"/>
        </w:rPr>
        <w:t xml:space="preserve">Provide a clearly written treatment plan when more treatment than an examination is required and we ensure that records are maintained, updated and shared with everyone involved </w:t>
      </w:r>
    </w:p>
    <w:p>
      <w:pPr>
        <w:pStyle w:val="Normal"/>
        <w:numPr>
          <w:ilvl w:val="0"/>
          <w:numId w:val="3"/>
        </w:numPr>
        <w:ind w:left="360" w:hanging="360"/>
        <w:rPr>
          <w:rFonts w:cs="Arial"/>
          <w:sz w:val="20"/>
        </w:rPr>
      </w:pPr>
      <w:r>
        <w:rPr>
          <w:rFonts w:cs="Arial"/>
          <w:sz w:val="20"/>
        </w:rPr>
        <w:t>Train staff on the creation and use of records (see induction plan) and provide annual training on good record keeping</w:t>
      </w:r>
    </w:p>
    <w:p>
      <w:pPr>
        <w:pStyle w:val="Normal"/>
        <w:numPr>
          <w:ilvl w:val="0"/>
          <w:numId w:val="3"/>
        </w:numPr>
        <w:ind w:left="360" w:hanging="360"/>
        <w:rPr>
          <w:rFonts w:cs="Arial"/>
          <w:sz w:val="20"/>
        </w:rPr>
      </w:pPr>
      <w:r>
        <w:rPr>
          <w:rFonts w:cs="Arial"/>
          <w:sz w:val="20"/>
        </w:rPr>
        <w:t>Have procedure that enables patients and staff to have access to their records on request</w:t>
      </w:r>
    </w:p>
    <w:p>
      <w:pPr>
        <w:pStyle w:val="Normal"/>
        <w:rPr>
          <w:rFonts w:cs="Arial"/>
          <w:sz w:val="20"/>
        </w:rPr>
      </w:pPr>
      <w:r>
        <w:rPr>
          <w:rFonts w:cs="Arial"/>
          <w:sz w:val="20"/>
        </w:rPr>
      </w:r>
    </w:p>
    <w:p>
      <w:pPr>
        <w:pStyle w:val="Normal"/>
        <w:rPr>
          <w:rFonts w:cs="Arial"/>
          <w:sz w:val="20"/>
        </w:rPr>
      </w:pPr>
      <w:r>
        <w:rPr>
          <w:rFonts w:cs="Arial"/>
          <w:sz w:val="20"/>
        </w:rPr>
        <w:t xml:space="preserve">All staff who record information (on any practice system and whether hardcopy or electronic) are responsible for ensuring that the information is accurate and as complete as possible. </w:t>
      </w:r>
    </w:p>
    <w:p>
      <w:pPr>
        <w:pStyle w:val="Normal"/>
        <w:rPr>
          <w:rFonts w:cs="Arial"/>
          <w:sz w:val="20"/>
        </w:rPr>
      </w:pPr>
      <w:r>
        <w:rPr>
          <w:rFonts w:cs="Arial"/>
          <w:sz w:val="20"/>
        </w:rPr>
      </w:r>
    </w:p>
    <w:p>
      <w:pPr>
        <w:pStyle w:val="Heading2"/>
        <w:rPr>
          <w:rFonts w:ascii="Arial" w:hAnsi="Arial" w:cs="Arial"/>
          <w:sz w:val="20"/>
        </w:rPr>
      </w:pPr>
      <w:r>
        <w:rPr>
          <w:rFonts w:cs="Arial" w:ascii="Arial" w:hAnsi="Arial"/>
          <w:sz w:val="20"/>
        </w:rPr>
        <w:t>Correction of errors</w:t>
      </w:r>
    </w:p>
    <w:p>
      <w:pPr>
        <w:pStyle w:val="Normal"/>
        <w:rPr>
          <w:rFonts w:cs="Arial"/>
          <w:sz w:val="20"/>
        </w:rPr>
      </w:pPr>
      <w:r>
        <w:rPr>
          <w:rFonts w:cs="Arial"/>
          <w:sz w:val="20"/>
        </w:rPr>
        <w:t>Individuals have the right to access their personal data that we process and store and to request that inaccurate or incomplete records are rectified. Any team member may receive this request and all team members know to pass the request to the practice Data Protection Officer (DPO). Where we have shared information with a third party, we will inform them of any rectifications (if appropriate).</w:t>
      </w:r>
    </w:p>
    <w:p>
      <w:pPr>
        <w:pStyle w:val="Normal"/>
        <w:rPr>
          <w:rFonts w:cs="Arial"/>
          <w:sz w:val="20"/>
        </w:rPr>
      </w:pPr>
      <w:r>
        <w:rPr>
          <w:rFonts w:cs="Arial"/>
          <w:sz w:val="20"/>
        </w:rPr>
      </w:r>
    </w:p>
    <w:p>
      <w:pPr>
        <w:pStyle w:val="Normal"/>
        <w:rPr>
          <w:rFonts w:cs="Arial"/>
          <w:sz w:val="20"/>
        </w:rPr>
      </w:pPr>
      <w:r>
        <w:rPr>
          <w:rFonts w:cs="Arial"/>
          <w:sz w:val="20"/>
        </w:rPr>
        <w:t>We will respond to a request for rectification within one month and may request identifying documents. If the request is complex, we may extend this to two months and provide the individual with the reasons for the extension. If the individual claims that the record is incomplete, the individual should provide the supplementary information.</w:t>
      </w:r>
    </w:p>
    <w:p>
      <w:pPr>
        <w:pStyle w:val="Normal"/>
        <w:rPr>
          <w:rFonts w:cs="Arial"/>
          <w:sz w:val="20"/>
        </w:rPr>
      </w:pPr>
      <w:r>
        <w:rPr>
          <w:rFonts w:cs="Arial"/>
          <w:sz w:val="20"/>
        </w:rPr>
      </w:r>
    </w:p>
    <w:p>
      <w:pPr>
        <w:pStyle w:val="Normal"/>
        <w:rPr>
          <w:rFonts w:cs="Arial"/>
          <w:sz w:val="20"/>
        </w:rPr>
      </w:pPr>
      <w:r>
        <w:rPr>
          <w:rFonts w:cs="Arial"/>
          <w:sz w:val="20"/>
        </w:rPr>
        <w:t>When assessing a request to rectify record, we will restrict further processing. If we refuse the request, we will provide a full explanation in writing within one month of the receiving the request and inform the individual of their right to complain to the ICO and seek a judicial remedy.</w:t>
      </w:r>
    </w:p>
    <w:p>
      <w:pPr>
        <w:pStyle w:val="Normal"/>
        <w:rPr>
          <w:rFonts w:cs="Arial"/>
          <w:sz w:val="20"/>
        </w:rPr>
      </w:pPr>
      <w:r>
        <w:rPr>
          <w:rFonts w:cs="Arial"/>
          <w:sz w:val="20"/>
        </w:rPr>
      </w:r>
    </w:p>
    <w:p>
      <w:pPr>
        <w:pStyle w:val="Normal"/>
        <w:rPr>
          <w:rFonts w:cs="Arial"/>
          <w:sz w:val="20"/>
        </w:rPr>
      </w:pPr>
      <w:r>
        <w:rPr>
          <w:rFonts w:cs="Arial"/>
          <w:sz w:val="20"/>
        </w:rPr>
        <w:t xml:space="preserve">The practice DPO keeps a record of rectification requests and outcomes  </w:t>
      </w:r>
    </w:p>
    <w:p>
      <w:pPr>
        <w:pStyle w:val="Normal"/>
        <w:rPr>
          <w:rFonts w:cs="Arial"/>
          <w:sz w:val="20"/>
        </w:rPr>
      </w:pPr>
      <w:r>
        <w:rPr>
          <w:rFonts w:cs="Arial"/>
          <w:sz w:val="20"/>
        </w:rPr>
      </w:r>
    </w:p>
    <w:p>
      <w:pPr>
        <w:pStyle w:val="Normal"/>
        <w:rPr>
          <w:rFonts w:cs="Arial"/>
          <w:sz w:val="20"/>
        </w:rPr>
      </w:pPr>
      <w:r>
        <w:rPr>
          <w:rFonts w:cs="Arial"/>
          <w:sz w:val="20"/>
        </w:rPr>
      </w:r>
    </w:p>
    <w:p>
      <w:pPr>
        <w:pStyle w:val="Heading1"/>
        <w:rPr>
          <w:rFonts w:ascii="Arial" w:hAnsi="Arial" w:cs="Arial"/>
          <w:sz w:val="20"/>
        </w:rPr>
      </w:pPr>
      <w:r>
        <w:rPr>
          <w:rFonts w:cs="Arial" w:ascii="Arial" w:hAnsi="Arial"/>
          <w:sz w:val="20"/>
        </w:rPr>
        <w:t>Archiving records</w:t>
      </w:r>
    </w:p>
    <w:p>
      <w:pPr>
        <w:pStyle w:val="Normal"/>
        <w:rPr/>
      </w:pPr>
      <w:r>
        <w:rPr/>
      </w:r>
    </w:p>
    <w:p>
      <w:pPr>
        <w:pStyle w:val="TextBody"/>
        <w:rPr>
          <w:rFonts w:cs="Arial"/>
          <w:sz w:val="20"/>
        </w:rPr>
      </w:pPr>
      <w:r>
        <w:rPr>
          <w:rFonts w:cs="Arial"/>
          <w:sz w:val="20"/>
        </w:rPr>
        <w:t>Where records need to be retained but are no longer required on a day-to-day basis, they are archived and stored securely. Records will be stored in a way that ensures easy identification and retrieval. The final decision on archiving information is taken by the Mr Harun Hussain.</w:t>
      </w:r>
    </w:p>
    <w:p>
      <w:pPr>
        <w:pStyle w:val="TextBody"/>
        <w:rPr>
          <w:rFonts w:cs="Arial"/>
          <w:sz w:val="20"/>
        </w:rPr>
      </w:pPr>
      <w:r>
        <w:rPr>
          <w:rFonts w:cs="Arial"/>
          <w:sz w:val="20"/>
        </w:rPr>
        <w:t xml:space="preserve">Electronic records that need to be retained but are not required on a day-to-day basis are, in the first instance, archived within the IT system. Where electronic storage space is at or near capacity, archived electronic data will be copied onto a suitable electronic format with copies stored securely at the practice premises and off-site. </w:t>
      </w:r>
    </w:p>
    <w:p>
      <w:pPr>
        <w:pStyle w:val="TextBody"/>
        <w:jc w:val="left"/>
        <w:rPr>
          <w:rFonts w:cs="Arial"/>
          <w:sz w:val="20"/>
        </w:rPr>
      </w:pPr>
      <w:r>
        <w:rPr>
          <w:rFonts w:cs="Arial"/>
          <w:sz w:val="20"/>
        </w:rPr>
      </w:r>
    </w:p>
    <w:p>
      <w:pPr>
        <w:pStyle w:val="TextBody"/>
        <w:rPr>
          <w:rFonts w:cs="Arial"/>
          <w:sz w:val="20"/>
        </w:rPr>
      </w:pPr>
      <w:r>
        <w:rPr>
          <w:rFonts w:cs="Arial"/>
          <w:sz w:val="20"/>
        </w:rPr>
        <w:t xml:space="preserve">The practice has systems for reviewing archived information that is no longer required, setting up a calendar alert for the annual review of the various types of information held. </w:t>
      </w:r>
    </w:p>
    <w:p>
      <w:pPr>
        <w:pStyle w:val="TextBody"/>
        <w:rPr>
          <w:rFonts w:cs="Arial"/>
          <w:sz w:val="20"/>
        </w:rPr>
      </w:pPr>
      <w:r>
        <w:rPr>
          <w:rFonts w:cs="Arial"/>
          <w:sz w:val="20"/>
        </w:rPr>
      </w:r>
    </w:p>
    <w:p>
      <w:pPr>
        <w:pStyle w:val="TextBody"/>
        <w:rPr>
          <w:rFonts w:cs="Arial"/>
          <w:sz w:val="20"/>
        </w:rPr>
      </w:pPr>
      <w:r>
        <w:rPr>
          <w:rFonts w:cs="Arial"/>
          <w:sz w:val="20"/>
        </w:rPr>
        <w:t>Personnel information is reviewed in December each year, as we are only a small practice and patient records are reviewed in January.</w:t>
      </w:r>
    </w:p>
    <w:p>
      <w:pPr>
        <w:pStyle w:val="TextBody"/>
        <w:rPr>
          <w:rFonts w:cs="Arial"/>
          <w:sz w:val="20"/>
        </w:rPr>
      </w:pPr>
      <w:r>
        <w:rPr>
          <w:rFonts w:cs="Arial"/>
          <w:sz w:val="20"/>
        </w:rPr>
      </w:r>
    </w:p>
    <w:p>
      <w:pPr>
        <w:pStyle w:val="Heading1"/>
        <w:rPr>
          <w:rFonts w:ascii="Arial" w:hAnsi="Arial" w:cs="Arial"/>
          <w:sz w:val="20"/>
        </w:rPr>
      </w:pPr>
      <w:r>
        <w:rPr>
          <w:rFonts w:cs="Arial" w:ascii="Arial" w:hAnsi="Arial"/>
          <w:sz w:val="20"/>
        </w:rPr>
        <w:t>Secure disposal of old records</w:t>
      </w:r>
    </w:p>
    <w:p>
      <w:pPr>
        <w:pStyle w:val="TextBody"/>
        <w:rPr>
          <w:rFonts w:cs="Arial"/>
          <w:color w:val="000000" w:themeColor="text1"/>
          <w:sz w:val="20"/>
        </w:rPr>
      </w:pPr>
      <w:r>
        <w:rPr>
          <w:rFonts w:cs="Arial"/>
          <w:sz w:val="20"/>
        </w:rPr>
        <w:t>Records that are no longer required are disposed of securely by shredding, pulping or incineration. The services of a professional contractor will be used where necessary; a certificate of confidential destruction is obtained and retained by the practice as evidence of DPA complianc</w:t>
      </w:r>
      <w:r>
        <w:rPr>
          <w:rFonts w:cs="Arial"/>
          <w:color w:val="000000" w:themeColor="text1"/>
          <w:sz w:val="20"/>
        </w:rPr>
        <w:t>e.</w:t>
      </w:r>
    </w:p>
    <w:p>
      <w:pPr>
        <w:pStyle w:val="TextBody"/>
        <w:jc w:val="left"/>
        <w:rPr>
          <w:rFonts w:cs="Arial"/>
          <w:color w:val="000000" w:themeColor="text1"/>
          <w:sz w:val="20"/>
        </w:rPr>
      </w:pPr>
      <w:r>
        <w:rPr>
          <w:rFonts w:cs="Arial"/>
          <w:color w:val="000000" w:themeColor="text1"/>
          <w:sz w:val="20"/>
        </w:rPr>
      </w:r>
    </w:p>
    <w:p>
      <w:pPr>
        <w:pStyle w:val="TextBody"/>
        <w:rPr>
          <w:rFonts w:cs="Arial"/>
          <w:color w:val="000000" w:themeColor="text1"/>
          <w:sz w:val="20"/>
        </w:rPr>
      </w:pPr>
      <w:r>
        <w:rPr>
          <w:rFonts w:cs="Arial"/>
          <w:color w:val="000000" w:themeColor="text1"/>
          <w:sz w:val="20"/>
        </w:rPr>
        <w:t xml:space="preserve">Patient study models are disposed of as soon as they are no longer required, and at the latest at the same time as the records associated with the patient are disposed of. The process of disposing patient’s study models is for the practice to remove the patient’s name (so that it is no longer visible) from the study models with permanent black marker and then for a professional contractor to collect them. </w:t>
      </w:r>
    </w:p>
    <w:p>
      <w:pPr>
        <w:pStyle w:val="TextBody"/>
        <w:jc w:val="left"/>
        <w:rPr>
          <w:rFonts w:cs="Arial"/>
          <w:color w:val="000000" w:themeColor="text1"/>
          <w:sz w:val="20"/>
        </w:rPr>
      </w:pPr>
      <w:r>
        <w:rPr>
          <w:rFonts w:cs="Arial"/>
          <w:color w:val="000000" w:themeColor="text1"/>
          <w:sz w:val="20"/>
        </w:rPr>
      </w:r>
    </w:p>
    <w:p>
      <w:pPr>
        <w:pStyle w:val="TextBody"/>
        <w:rPr>
          <w:rFonts w:cs="Arial"/>
          <w:color w:val="000000" w:themeColor="text1"/>
          <w:sz w:val="20"/>
        </w:rPr>
      </w:pPr>
      <w:r>
        <w:rPr>
          <w:rFonts w:cs="Arial"/>
          <w:color w:val="000000" w:themeColor="text1"/>
          <w:sz w:val="20"/>
        </w:rPr>
        <w:t>Records held electronically and backups of electronic information are disposed of using the secure deletion option on the practice computer system.</w:t>
      </w:r>
    </w:p>
    <w:p>
      <w:pPr>
        <w:pStyle w:val="TextBody"/>
        <w:rPr>
          <w:rFonts w:cs="Arial"/>
          <w:color w:val="000000" w:themeColor="text1"/>
          <w:sz w:val="20"/>
        </w:rPr>
      </w:pPr>
      <w:r>
        <w:rPr>
          <w:rFonts w:cs="Arial"/>
          <w:color w:val="000000" w:themeColor="text1"/>
          <w:sz w:val="20"/>
        </w:rPr>
      </w:r>
    </w:p>
    <w:p>
      <w:pPr>
        <w:pStyle w:val="TextBody"/>
        <w:rPr>
          <w:rFonts w:cs="Arial"/>
          <w:color w:val="000000" w:themeColor="text1"/>
          <w:sz w:val="20"/>
        </w:rPr>
      </w:pPr>
      <w:r>
        <w:rPr>
          <w:rFonts w:cs="Arial"/>
          <w:color w:val="000000" w:themeColor="text1"/>
          <w:sz w:val="20"/>
        </w:rPr>
        <w:t xml:space="preserve">The final decision on disposing of records will be taken by Mr Harun Hussain (practice owner). </w:t>
      </w:r>
    </w:p>
    <w:p>
      <w:pPr>
        <w:pStyle w:val="TextBody"/>
        <w:rPr>
          <w:rFonts w:cs="Arial"/>
          <w:color w:val="000000" w:themeColor="text1"/>
          <w:sz w:val="20"/>
        </w:rPr>
      </w:pPr>
      <w:r>
        <w:rPr>
          <w:rFonts w:cs="Arial"/>
          <w:color w:val="000000" w:themeColor="text1"/>
          <w:sz w:val="20"/>
        </w:rPr>
      </w:r>
    </w:p>
    <w:p>
      <w:pPr>
        <w:pStyle w:val="TextBody"/>
        <w:rPr>
          <w:rFonts w:cs="Arial"/>
          <w:sz w:val="20"/>
        </w:rPr>
      </w:pPr>
      <w:r>
        <w:rPr>
          <w:rFonts w:cs="Arial"/>
          <w:sz w:val="20"/>
        </w:rPr>
      </w:r>
    </w:p>
    <w:p>
      <w:pPr>
        <w:pStyle w:val="Heading1"/>
        <w:rPr>
          <w:rFonts w:ascii="Arial" w:hAnsi="Arial" w:cs="Arial"/>
          <w:sz w:val="20"/>
        </w:rPr>
      </w:pPr>
      <w:r>
        <w:rPr>
          <w:rFonts w:cs="Arial" w:ascii="Arial" w:hAnsi="Arial"/>
          <w:sz w:val="20"/>
        </w:rPr>
        <w:t>Responsibilities</w:t>
      </w:r>
    </w:p>
    <w:p>
      <w:pPr>
        <w:pStyle w:val="Normal"/>
        <w:rPr/>
      </w:pPr>
      <w:r>
        <w:rPr/>
      </w:r>
    </w:p>
    <w:p>
      <w:pPr>
        <w:pStyle w:val="Normal"/>
        <w:rPr>
          <w:rFonts w:cs="Arial"/>
          <w:sz w:val="20"/>
        </w:rPr>
      </w:pPr>
      <w:r>
        <w:rPr>
          <w:rFonts w:cs="Arial"/>
          <w:sz w:val="20"/>
        </w:rPr>
        <w:t>The following individuals have data protection and quality responsibilities:</w:t>
      </w:r>
    </w:p>
    <w:p>
      <w:pPr>
        <w:pStyle w:val="Normal"/>
        <w:rPr>
          <w:rFonts w:cs="Arial"/>
          <w:sz w:val="20"/>
        </w:rPr>
      </w:pPr>
      <w:r>
        <w:rPr>
          <w:rFonts w:cs="Arial"/>
          <w:sz w:val="20"/>
        </w:rPr>
      </w:r>
    </w:p>
    <w:p>
      <w:pPr>
        <w:pStyle w:val="Normal"/>
        <w:numPr>
          <w:ilvl w:val="0"/>
          <w:numId w:val="4"/>
        </w:numPr>
        <w:rPr>
          <w:rFonts w:cs="Arial"/>
          <w:sz w:val="20"/>
        </w:rPr>
      </w:pPr>
      <w:r>
        <w:rPr>
          <w:rFonts w:cs="Arial"/>
          <w:b/>
          <w:sz w:val="20"/>
        </w:rPr>
        <w:t xml:space="preserve">Data Controller: </w:t>
      </w:r>
      <w:r>
        <w:rPr>
          <w:rFonts w:cs="Arial"/>
          <w:sz w:val="20"/>
        </w:rPr>
        <w:t xml:space="preserve">Julie Dawson is responsible for reviewing the data quality policies and procedures at least annually </w:t>
      </w:r>
    </w:p>
    <w:p>
      <w:pPr>
        <w:pStyle w:val="Normal"/>
        <w:numPr>
          <w:ilvl w:val="0"/>
          <w:numId w:val="4"/>
        </w:numPr>
        <w:rPr>
          <w:rFonts w:cs="Arial"/>
          <w:sz w:val="20"/>
        </w:rPr>
      </w:pPr>
      <w:r>
        <w:rPr>
          <w:rFonts w:cs="Arial"/>
          <w:b/>
          <w:sz w:val="20"/>
        </w:rPr>
        <w:t>Data Protection Officer</w:t>
      </w:r>
      <w:r>
        <w:rPr>
          <w:rFonts w:cs="Arial"/>
          <w:sz w:val="20"/>
        </w:rPr>
        <w:t xml:space="preserve"> Julie Dawson has responsibility for training staff in data quality, monitoring data quality throughout the practice, and responding to and recording rectification requests</w:t>
      </w:r>
    </w:p>
    <w:p>
      <w:pPr>
        <w:pStyle w:val="Normal"/>
        <w:numPr>
          <w:ilvl w:val="0"/>
          <w:numId w:val="4"/>
        </w:numPr>
        <w:rPr>
          <w:rFonts w:cs="Arial"/>
          <w:sz w:val="20"/>
        </w:rPr>
      </w:pPr>
      <w:r>
        <w:rPr>
          <w:rFonts w:cs="Arial"/>
          <w:b/>
          <w:sz w:val="20"/>
        </w:rPr>
        <w:t>Data Security Lead –</w:t>
      </w:r>
      <w:r>
        <w:rPr>
          <w:rFonts w:cs="Arial"/>
          <w:sz w:val="20"/>
        </w:rPr>
        <w:t xml:space="preserve"> Julie Dawson is responsible for the quality of records and ensuring that staff understand their commitments in ensuring data quality.</w:t>
      </w:r>
    </w:p>
    <w:p>
      <w:pPr>
        <w:pStyle w:val="Normal"/>
        <w:rPr>
          <w:rFonts w:cs="Arial"/>
          <w:sz w:val="20"/>
        </w:rPr>
      </w:pPr>
      <w:r>
        <w:rPr>
          <w:rFonts w:cs="Arial"/>
          <w:sz w:val="20"/>
        </w:rPr>
      </w:r>
    </w:p>
    <w:p>
      <w:pPr>
        <w:pStyle w:val="Normal"/>
        <w:rPr>
          <w:rFonts w:cs="Arial"/>
          <w:sz w:val="20"/>
        </w:rPr>
      </w:pPr>
      <w:r>
        <w:rPr>
          <w:rFonts w:cs="Arial"/>
          <w:sz w:val="20"/>
        </w:rPr>
        <w:t>All team members are responsible for the quality of information they record and for reporting any errors to the Data Protection Officer. All team members understand that information accuracy and security is a contractual and legislative requirement and that breach of this policy might result in disciplinary action.</w:t>
      </w:r>
    </w:p>
    <w:p>
      <w:pPr>
        <w:pStyle w:val="Normal"/>
        <w:rPr>
          <w:rFonts w:cs="Arial"/>
          <w:sz w:val="20"/>
        </w:rPr>
      </w:pPr>
      <w:r>
        <w:rPr>
          <w:rFonts w:cs="Arial"/>
          <w:sz w:val="20"/>
        </w:rPr>
      </w:r>
    </w:p>
    <w:p>
      <w:pPr>
        <w:pStyle w:val="Normal"/>
        <w:rPr>
          <w:rFonts w:cs="Arial"/>
          <w:sz w:val="20"/>
        </w:rPr>
      </w:pPr>
      <w:r>
        <w:rPr>
          <w:rFonts w:cs="Arial"/>
          <w:sz w:val="20"/>
        </w:rPr>
      </w:r>
    </w:p>
    <w:p>
      <w:pPr>
        <w:pStyle w:val="Heading2"/>
        <w:rPr>
          <w:rFonts w:ascii="Arial" w:hAnsi="Arial" w:cs="Arial"/>
          <w:sz w:val="20"/>
        </w:rPr>
      </w:pPr>
      <w:r>
        <w:rPr>
          <w:rFonts w:cs="Arial" w:ascii="Arial" w:hAnsi="Arial"/>
          <w:sz w:val="20"/>
        </w:rPr>
        <w:t>If you do not agree</w:t>
      </w:r>
    </w:p>
    <w:p>
      <w:pPr>
        <w:pStyle w:val="Normal"/>
        <w:rPr>
          <w:rFonts w:cs="Arial"/>
          <w:sz w:val="20"/>
        </w:rPr>
      </w:pPr>
      <w:r>
        <w:rPr>
          <w:rFonts w:cs="Arial"/>
          <w:sz w:val="20"/>
        </w:rPr>
        <w:t xml:space="preserve">If you do not wish us to use your personal information as described, please discuss the matter with us. If you have any concerns about how we use your information and you do not feel able to discuss it with your dentist or anyone at the practice, you should contact The Information Commissioner’s Office (ICO), Wycliffe House, Water Lane, Wilmslow, Cheshire SK9 5AF (0303 123 1113 or 01625 545745). </w:t>
      </w:r>
    </w:p>
    <w:p>
      <w:pPr>
        <w:pStyle w:val="Normal"/>
        <w:rPr/>
      </w:pPr>
      <w:r>
        <w:rPr/>
      </w:r>
    </w:p>
    <w:p>
      <w:pPr>
        <w:pStyle w:val="Normal"/>
        <w:rPr>
          <w:rFonts w:cs="Arial"/>
          <w:sz w:val="20"/>
        </w:rPr>
      </w:pPr>
      <w:r>
        <w:rPr>
          <w:rFonts w:cs="Arial"/>
          <w:sz w:val="20"/>
        </w:rPr>
      </w:r>
    </w:p>
    <w:p>
      <w:pPr>
        <w:pStyle w:val="Normal"/>
        <w:ind w:right="-201" w:hanging="0"/>
        <w:jc w:val="both"/>
        <w:rPr>
          <w:rFonts w:cs="Arial"/>
          <w:sz w:val="20"/>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20" w:top="1440" w:footer="720" w:bottom="144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rebuchet MS">
    <w:charset w:val="01"/>
    <w:family w:val="roman"/>
    <w:pitch w:val="variable"/>
  </w:font>
  <w:font w:name="Tahoma">
    <w:charset w:val="01"/>
    <w:family w:val="roman"/>
    <w:pitch w:val="variable"/>
  </w:font>
  <w:font w:name="Liberation Sans">
    <w:altName w:val="Arial"/>
    <w:charset w:val="01"/>
    <w:family w:val="swiss"/>
    <w:pitch w:val="variable"/>
  </w:font>
  <w:font w:name="Lucida Sans">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3" name="Frame2"/>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2"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Calibri" w:hAnsi="Calibri" w:asciiTheme="minorHAnsi" w:hAnsiTheme="minorHAnsi"/>
        <w:sz w:val="22"/>
        <w:szCs w:val="22"/>
        <w:lang w:val="en-GB"/>
      </w:rPr>
    </w:pPr>
    <w:r>
      <w:rPr>
        <w:rFonts w:asciiTheme="minorHAnsi" w:hAnsiTheme="minorHAnsi" w:ascii="Calibri" w:hAnsi="Calibri"/>
        <w:sz w:val="22"/>
        <w:szCs w:val="22"/>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Calibri" w:hAnsi="Calibri" w:asciiTheme="minorHAnsi" w:hAnsiTheme="minorHAnsi"/>
        <w:sz w:val="22"/>
        <w:szCs w:val="22"/>
        <w:lang w:val="en-GB"/>
      </w:rPr>
    </w:pPr>
    <w:r>
      <w:rPr>
        <w:rFonts w:asciiTheme="minorHAnsi" w:hAnsiTheme="minorHAnsi" w:ascii="Calibri" w:hAnsi="Calibri"/>
        <w:sz w:val="22"/>
        <w:szCs w:val="22"/>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1">
    <w:lsdException w:name="Normal" w:qFormat="1"/>
    <w:lsdException w:name="heading 2" w:qFormat="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419c4"/>
    <w:pPr>
      <w:widowControl/>
      <w:bidi w:val="0"/>
      <w:spacing w:lineRule="auto" w:line="276" w:before="0" w:after="0"/>
      <w:jc w:val="left"/>
    </w:pPr>
    <w:rPr>
      <w:rFonts w:ascii="Arial" w:hAnsi="Arial" w:eastAsia="Times New Roman" w:cs="Times New Roman"/>
      <w:color w:val="auto"/>
      <w:kern w:val="0"/>
      <w:sz w:val="22"/>
      <w:szCs w:val="20"/>
      <w:lang w:eastAsia="en-US" w:val="en-GB" w:bidi="ar-SA"/>
    </w:rPr>
  </w:style>
  <w:style w:type="paragraph" w:styleId="Heading1">
    <w:name w:val="Heading 1"/>
    <w:basedOn w:val="Normal"/>
    <w:next w:val="Normal"/>
    <w:link w:val="Heading1Char"/>
    <w:qFormat/>
    <w:rsid w:val="00954277"/>
    <w:pPr>
      <w:keepNext w:val="true"/>
      <w:outlineLvl w:val="0"/>
    </w:pPr>
    <w:rPr>
      <w:rFonts w:ascii="Trebuchet MS" w:hAnsi="Trebuchet MS"/>
      <w:b/>
      <w:sz w:val="28"/>
    </w:rPr>
  </w:style>
  <w:style w:type="paragraph" w:styleId="Heading2">
    <w:name w:val="Heading 2"/>
    <w:basedOn w:val="Normal"/>
    <w:next w:val="Normal"/>
    <w:qFormat/>
    <w:rsid w:val="006419c4"/>
    <w:pPr>
      <w:keepNext w:val="true"/>
      <w:spacing w:before="0" w:after="100"/>
      <w:jc w:val="both"/>
      <w:outlineLvl w:val="1"/>
    </w:pPr>
    <w:rPr>
      <w:rFonts w:ascii="Trebuchet MS" w:hAnsi="Trebuchet MS"/>
      <w:b/>
      <w:sz w:val="26"/>
    </w:rPr>
  </w:style>
  <w:style w:type="paragraph" w:styleId="Heading3">
    <w:name w:val="Heading 3"/>
    <w:basedOn w:val="Normal"/>
    <w:next w:val="Normal"/>
    <w:qFormat/>
    <w:rsid w:val="003d4878"/>
    <w:pPr>
      <w:keepNext w:val="true"/>
      <w:jc w:val="both"/>
      <w:outlineLvl w:val="2"/>
    </w:pPr>
    <w:rPr/>
  </w:style>
  <w:style w:type="paragraph" w:styleId="Heading4">
    <w:name w:val="Heading 4"/>
    <w:basedOn w:val="Normal"/>
    <w:next w:val="Normal"/>
    <w:qFormat/>
    <w:rsid w:val="003d4878"/>
    <w:pPr>
      <w:keepNext w:val="true"/>
      <w:jc w:val="both"/>
      <w:outlineLvl w:val="3"/>
    </w:pPr>
    <w:rPr>
      <w:i/>
    </w:rPr>
  </w:style>
  <w:style w:type="paragraph" w:styleId="Heading5">
    <w:name w:val="Heading 5"/>
    <w:basedOn w:val="Normal"/>
    <w:next w:val="Normal"/>
    <w:qFormat/>
    <w:rsid w:val="003d4878"/>
    <w:pPr>
      <w:keepNext w:val="true"/>
      <w:outlineLvl w:val="4"/>
    </w:pPr>
    <w:rPr>
      <w:i/>
    </w:rPr>
  </w:style>
  <w:style w:type="paragraph" w:styleId="Heading6">
    <w:name w:val="Heading 6"/>
    <w:basedOn w:val="Normal"/>
    <w:next w:val="Normal"/>
    <w:link w:val="Heading6Char"/>
    <w:qFormat/>
    <w:rsid w:val="003d4878"/>
    <w:pPr>
      <w:keepNext w:val="true"/>
      <w:ind w:left="720" w:right="43" w:hanging="0"/>
      <w:jc w:val="both"/>
      <w:outlineLvl w:val="5"/>
    </w:pPr>
    <w:rPr>
      <w:b/>
    </w:rPr>
  </w:style>
  <w:style w:type="paragraph" w:styleId="Heading7">
    <w:name w:val="Heading 7"/>
    <w:basedOn w:val="Normal"/>
    <w:next w:val="Normal"/>
    <w:link w:val="Heading7Char"/>
    <w:qFormat/>
    <w:rsid w:val="003d4878"/>
    <w:pPr>
      <w:keepNext w:val="true"/>
      <w:ind w:right="43" w:hanging="0"/>
      <w:jc w:val="both"/>
      <w:outlineLvl w:val="6"/>
    </w:pPr>
    <w:rPr>
      <w:b/>
    </w:rPr>
  </w:style>
  <w:style w:type="paragraph" w:styleId="Heading8">
    <w:name w:val="Heading 8"/>
    <w:basedOn w:val="Normal"/>
    <w:next w:val="Normal"/>
    <w:qFormat/>
    <w:rsid w:val="003d4878"/>
    <w:pPr>
      <w:keepNext w:val="true"/>
      <w:ind w:left="360" w:hanging="0"/>
      <w:outlineLvl w:val="7"/>
    </w:pPr>
    <w:rPr>
      <w:b/>
      <w:bCs/>
      <w:i/>
      <w:iCs/>
    </w:rPr>
  </w:style>
  <w:style w:type="character" w:styleId="DefaultParagraphFont" w:default="1">
    <w:name w:val="Default Paragraph Font"/>
    <w:uiPriority w:val="1"/>
    <w:semiHidden/>
    <w:unhideWhenUsed/>
    <w:qFormat/>
    <w:rPr/>
  </w:style>
  <w:style w:type="character" w:styleId="InternetLink">
    <w:name w:val="Hyperlink"/>
    <w:rsid w:val="003d4878"/>
    <w:rPr>
      <w:color w:val="0000FF"/>
      <w:u w:val="single"/>
    </w:rPr>
  </w:style>
  <w:style w:type="character" w:styleId="Pagenumber">
    <w:name w:val="page number"/>
    <w:basedOn w:val="DefaultParagraphFont"/>
    <w:qFormat/>
    <w:rsid w:val="003d4878"/>
    <w:rPr/>
  </w:style>
  <w:style w:type="character" w:styleId="VisitedInternetLink">
    <w:name w:val="FollowedHyperlink"/>
    <w:rsid w:val="00b4562f"/>
    <w:rPr>
      <w:color w:val="000080"/>
      <w:u w:val="single"/>
    </w:rPr>
  </w:style>
  <w:style w:type="character" w:styleId="Strong">
    <w:name w:val="Strong"/>
    <w:qFormat/>
    <w:rsid w:val="00b4562f"/>
    <w:rPr>
      <w:b/>
      <w:bCs/>
    </w:rPr>
  </w:style>
  <w:style w:type="character" w:styleId="BalloonTextChar" w:customStyle="1">
    <w:name w:val="Balloon Text Char"/>
    <w:link w:val="BalloonText"/>
    <w:qFormat/>
    <w:rsid w:val="007f651f"/>
    <w:rPr>
      <w:rFonts w:ascii="Tahoma" w:hAnsi="Tahoma" w:cs="Tahoma"/>
      <w:sz w:val="16"/>
      <w:szCs w:val="16"/>
      <w:lang w:eastAsia="en-US"/>
    </w:rPr>
  </w:style>
  <w:style w:type="character" w:styleId="Heading1Char" w:customStyle="1">
    <w:name w:val="Heading 1 Char"/>
    <w:link w:val="Heading1"/>
    <w:qFormat/>
    <w:rsid w:val="00954277"/>
    <w:rPr>
      <w:rFonts w:ascii="Trebuchet MS" w:hAnsi="Trebuchet MS"/>
      <w:b/>
      <w:sz w:val="28"/>
      <w:lang w:eastAsia="en-US"/>
    </w:rPr>
  </w:style>
  <w:style w:type="character" w:styleId="Heading6Char" w:customStyle="1">
    <w:name w:val="Heading 6 Char"/>
    <w:link w:val="Heading6"/>
    <w:qFormat/>
    <w:rsid w:val="00ed2d83"/>
    <w:rPr>
      <w:b/>
      <w:sz w:val="24"/>
      <w:lang w:eastAsia="en-US"/>
    </w:rPr>
  </w:style>
  <w:style w:type="character" w:styleId="Heading7Char" w:customStyle="1">
    <w:name w:val="Heading 7 Char"/>
    <w:link w:val="Heading7"/>
    <w:qFormat/>
    <w:rsid w:val="00ed2d83"/>
    <w:rPr>
      <w:b/>
      <w:sz w:val="24"/>
      <w:lang w:eastAsia="en-US"/>
    </w:rPr>
  </w:style>
  <w:style w:type="character" w:styleId="FooterChar" w:customStyle="1">
    <w:name w:val="Footer Char"/>
    <w:link w:val="Footer"/>
    <w:uiPriority w:val="99"/>
    <w:qFormat/>
    <w:rsid w:val="007f0d9c"/>
    <w:rPr>
      <w:lang w:val="en-US" w:eastAsia="en-US"/>
    </w:rPr>
  </w:style>
  <w:style w:type="character" w:styleId="Annotationreference">
    <w:name w:val="annotation reference"/>
    <w:qFormat/>
    <w:rsid w:val="005528cc"/>
    <w:rPr>
      <w:sz w:val="16"/>
      <w:szCs w:val="16"/>
    </w:rPr>
  </w:style>
  <w:style w:type="character" w:styleId="CommentTextChar" w:customStyle="1">
    <w:name w:val="Comment Text Char"/>
    <w:link w:val="Annotationtext"/>
    <w:qFormat/>
    <w:rsid w:val="005528cc"/>
    <w:rPr>
      <w:lang w:eastAsia="en-US"/>
    </w:rPr>
  </w:style>
  <w:style w:type="character" w:styleId="CommentSubjectChar" w:customStyle="1">
    <w:name w:val="Comment Subject Char"/>
    <w:link w:val="Annotationsubject"/>
    <w:qFormat/>
    <w:rsid w:val="005528cc"/>
    <w:rPr>
      <w:b/>
      <w:bCs/>
      <w:lang w:eastAsia="en-US"/>
    </w:rPr>
  </w:style>
  <w:style w:type="character" w:styleId="HeaderChar" w:customStyle="1">
    <w:name w:val="Header Char"/>
    <w:basedOn w:val="DefaultParagraphFont"/>
    <w:link w:val="Header"/>
    <w:uiPriority w:val="99"/>
    <w:qFormat/>
    <w:rsid w:val="00606dbc"/>
    <w:rPr>
      <w:rFonts w:ascii="Arial" w:hAnsi="Arial"/>
      <w:lang w:val="en-US" w:eastAsia="en-U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rsid w:val="003d4878"/>
    <w:pPr>
      <w:jc w:val="both"/>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qFormat/>
    <w:rsid w:val="003d4878"/>
    <w:pPr>
      <w:jc w:val="center"/>
    </w:pPr>
    <w:rPr>
      <w:b/>
      <w:sz w:val="36"/>
    </w:rPr>
  </w:style>
  <w:style w:type="paragraph" w:styleId="HeaderandFooter">
    <w:name w:val="Header and Footer"/>
    <w:basedOn w:val="Normal"/>
    <w:qFormat/>
    <w:pPr/>
    <w:rPr/>
  </w:style>
  <w:style w:type="paragraph" w:styleId="Header">
    <w:name w:val="Header"/>
    <w:basedOn w:val="Normal"/>
    <w:link w:val="HeaderChar"/>
    <w:uiPriority w:val="99"/>
    <w:rsid w:val="003d4878"/>
    <w:pPr>
      <w:tabs>
        <w:tab w:val="clear" w:pos="720"/>
        <w:tab w:val="center" w:pos="4320" w:leader="none"/>
        <w:tab w:val="right" w:pos="8640" w:leader="none"/>
      </w:tabs>
    </w:pPr>
    <w:rPr>
      <w:sz w:val="20"/>
      <w:lang w:val="en-US"/>
    </w:rPr>
  </w:style>
  <w:style w:type="paragraph" w:styleId="Footer">
    <w:name w:val="Footer"/>
    <w:basedOn w:val="Normal"/>
    <w:link w:val="FooterChar"/>
    <w:uiPriority w:val="99"/>
    <w:rsid w:val="003d4878"/>
    <w:pPr>
      <w:tabs>
        <w:tab w:val="clear" w:pos="720"/>
        <w:tab w:val="center" w:pos="4320" w:leader="none"/>
        <w:tab w:val="right" w:pos="8640" w:leader="none"/>
      </w:tabs>
    </w:pPr>
    <w:rPr>
      <w:sz w:val="20"/>
      <w:lang w:val="en-US"/>
    </w:rPr>
  </w:style>
  <w:style w:type="paragraph" w:styleId="Subtitle">
    <w:name w:val="Subtitle"/>
    <w:basedOn w:val="Normal"/>
    <w:qFormat/>
    <w:rsid w:val="003d4878"/>
    <w:pPr/>
    <w:rPr>
      <w:b/>
      <w:sz w:val="28"/>
    </w:rPr>
  </w:style>
  <w:style w:type="paragraph" w:styleId="DocumentMap">
    <w:name w:val="Document Map"/>
    <w:basedOn w:val="Normal"/>
    <w:semiHidden/>
    <w:qFormat/>
    <w:rsid w:val="003d4878"/>
    <w:pPr>
      <w:shd w:val="clear" w:color="auto" w:fill="000080"/>
    </w:pPr>
    <w:rPr>
      <w:rFonts w:ascii="Tahoma" w:hAnsi="Tahoma"/>
    </w:rPr>
  </w:style>
  <w:style w:type="paragraph" w:styleId="BodyText2">
    <w:name w:val="Body Text 2"/>
    <w:basedOn w:val="Normal"/>
    <w:qFormat/>
    <w:rsid w:val="003d4878"/>
    <w:pPr>
      <w:widowControl w:val="false"/>
    </w:pPr>
    <w:rPr/>
  </w:style>
  <w:style w:type="paragraph" w:styleId="HTMLAddress">
    <w:name w:val="HTML Address"/>
    <w:basedOn w:val="Normal"/>
    <w:qFormat/>
    <w:rsid w:val="00b4562f"/>
    <w:pPr>
      <w:spacing w:before="240" w:after="240"/>
    </w:pPr>
    <w:rPr>
      <w:szCs w:val="24"/>
      <w:lang w:eastAsia="en-GB"/>
    </w:rPr>
  </w:style>
  <w:style w:type="paragraph" w:styleId="NormalWeb">
    <w:name w:val="Normal (Web)"/>
    <w:basedOn w:val="Normal"/>
    <w:qFormat/>
    <w:rsid w:val="00b4562f"/>
    <w:pPr>
      <w:spacing w:beforeAutospacing="1" w:afterAutospacing="1"/>
    </w:pPr>
    <w:rPr>
      <w:szCs w:val="24"/>
      <w:lang w:eastAsia="en-GB"/>
    </w:rPr>
  </w:style>
  <w:style w:type="paragraph" w:styleId="BalloonText">
    <w:name w:val="Balloon Text"/>
    <w:basedOn w:val="Normal"/>
    <w:link w:val="BalloonTextChar"/>
    <w:qFormat/>
    <w:rsid w:val="007f651f"/>
    <w:pPr/>
    <w:rPr>
      <w:rFonts w:ascii="Tahoma" w:hAnsi="Tahoma"/>
      <w:sz w:val="16"/>
      <w:szCs w:val="16"/>
    </w:rPr>
  </w:style>
  <w:style w:type="paragraph" w:styleId="Annotationtext">
    <w:name w:val="annotation text"/>
    <w:basedOn w:val="Normal"/>
    <w:link w:val="CommentTextChar"/>
    <w:qFormat/>
    <w:rsid w:val="005528cc"/>
    <w:pPr/>
    <w:rPr>
      <w:sz w:val="20"/>
    </w:rPr>
  </w:style>
  <w:style w:type="paragraph" w:styleId="Annotationsubject">
    <w:name w:val="annotation subject"/>
    <w:basedOn w:val="Annotationtext"/>
    <w:next w:val="Annotationtext"/>
    <w:link w:val="CommentSubjectChar"/>
    <w:qFormat/>
    <w:rsid w:val="005528cc"/>
    <w:pPr/>
    <w:rPr>
      <w:b/>
      <w:bCs/>
    </w:rPr>
  </w:style>
  <w:style w:type="paragraph" w:styleId="Revision">
    <w:name w:val="Revision"/>
    <w:uiPriority w:val="99"/>
    <w:semiHidden/>
    <w:qFormat/>
    <w:rsid w:val="00cf3172"/>
    <w:pPr>
      <w:widowControl/>
      <w:bidi w:val="0"/>
      <w:spacing w:before="0" w:after="0"/>
      <w:jc w:val="left"/>
    </w:pPr>
    <w:rPr>
      <w:rFonts w:ascii="Times New Roman" w:hAnsi="Times New Roman" w:eastAsia="Times New Roman" w:cs="Times New Roman"/>
      <w:color w:val="auto"/>
      <w:kern w:val="0"/>
      <w:sz w:val="24"/>
      <w:szCs w:val="20"/>
      <w:lang w:eastAsia="en-US" w:val="en-GB" w:bidi="ar-SA"/>
    </w:rPr>
  </w:style>
  <w:style w:type="paragraph" w:styleId="NoSpacing">
    <w:name w:val="No Spacing"/>
    <w:uiPriority w:val="1"/>
    <w:qFormat/>
    <w:rsid w:val="008a1578"/>
    <w:pPr>
      <w:widowControl/>
      <w:bidi w:val="0"/>
      <w:spacing w:before="0" w:after="0"/>
      <w:jc w:val="left"/>
    </w:pPr>
    <w:rPr>
      <w:rFonts w:ascii="Lucida Sans" w:hAnsi="Lucida Sans" w:eastAsia="Times New Roman" w:cs="Times New Roman"/>
      <w:color w:val="auto"/>
      <w:kern w:val="0"/>
      <w:sz w:val="24"/>
      <w:szCs w:val="22"/>
      <w:lang w:eastAsia="en-US" w:val="en-GB"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F0918B876EFE498205D28550271C2E" ma:contentTypeVersion="1" ma:contentTypeDescription="Create a new document." ma:contentTypeScope="" ma:versionID="3f5bd208d9a110ad51ae399e65e88b1c">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375B8-80C6-4695-BCBD-A53AEA8C5E29}">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725EF9B6-FA82-4F73-A4FA-B7BFEE715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EBA6C-0B5E-4FB3-ACED-8FEC9179ECA6}">
  <ds:schemaRefs>
    <ds:schemaRef ds:uri="http://schemas.microsoft.com/sharepoint/v3/contenttype/forms"/>
  </ds:schemaRefs>
</ds:datastoreItem>
</file>

<file path=customXml/itemProps4.xml><?xml version="1.0" encoding="utf-8"?>
<ds:datastoreItem xmlns:ds="http://schemas.openxmlformats.org/officeDocument/2006/customXml" ds:itemID="{80065EB0-B477-46C7-B2B2-170D0644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LibreOffice/7.3.7.2$Linux_X86_64 LibreOffice_project/30$Build-2</Application>
  <AppVersion>15.0000</AppVersion>
  <Pages>4</Pages>
  <Words>1516</Words>
  <Characters>8059</Characters>
  <CharactersWithSpaces>9642</CharactersWithSpaces>
  <Paragraphs>64</Paragraphs>
  <Company>BDA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2024-12-09T11:24:00Z</dcterms:created>
  <dc:creator>© BDA</dc:creator>
  <dc:description/>
  <cp:keywords>Printed Edited Corrected</cp:keywords>
  <dc:language>en-US</dc:language>
  <cp:lastModifiedBy/>
  <cp:lastPrinted>2024-12-09T11:05:00Z</cp:lastPrinted>
  <dcterms:modified xsi:type="dcterms:W3CDTF">2026-08-17T14:16:00Z</dcterms:modified>
  <cp:revision>5</cp:revision>
  <dc:subject/>
  <dc:title>Confidentiality policy</dc:title>
</cp:coreProperties>
</file>

<file path=docProps/custom.xml><?xml version="1.0" encoding="utf-8"?>
<Properties xmlns="http://schemas.openxmlformats.org/officeDocument/2006/custom-properties" xmlns:vt="http://schemas.openxmlformats.org/officeDocument/2006/docPropsVTypes"/>
</file>