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center"/>
        <w:rPr>
          <w:sz w:val="20"/>
          <w:szCs w:val="20"/>
        </w:rPr>
      </w:pPr>
      <w:r>
        <w:rPr>
          <w:sz w:val="22"/>
          <w:szCs w:val="22"/>
        </w:rPr>
        <w:t xml:space="preserve">                                                                                                                   </w:t>
      </w:r>
    </w:p>
    <w:p>
      <w:pPr>
        <w:pStyle w:val="Header"/>
        <w:jc w:val="right"/>
        <w:rPr>
          <w:rFonts w:ascii="Arial" w:hAnsi="Arial" w:cs="Arial"/>
          <w:sz w:val="20"/>
          <w:szCs w:val="20"/>
        </w:rPr>
      </w:pPr>
      <w:r>
        <w:drawing>
          <wp:anchor behindDoc="0" distT="0" distB="0" distL="0" distR="114300" simplePos="0" locked="0" layoutInCell="0" allowOverlap="1" relativeHeight="2">
            <wp:simplePos x="0" y="0"/>
            <wp:positionH relativeFrom="margin">
              <wp:align>left</wp:align>
            </wp:positionH>
            <wp:positionV relativeFrom="paragraph">
              <wp:posOffset>-106680</wp:posOffset>
            </wp:positionV>
            <wp:extent cx="1574800" cy="808355"/>
            <wp:effectExtent l="0" t="0" r="0" b="0"/>
            <wp:wrapTight wrapText="bothSides">
              <wp:wrapPolygon edited="0">
                <wp:start x="-7" y="0"/>
                <wp:lineTo x="-7" y="20865"/>
                <wp:lineTo x="21420" y="20865"/>
                <wp:lineTo x="21420" y="0"/>
                <wp:lineTo x="-7" y="0"/>
              </wp:wrapPolygon>
            </wp:wrapTight>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574800" cy="808355"/>
                    </a:xfrm>
                    <a:prstGeom prst="rect">
                      <a:avLst/>
                    </a:prstGeom>
                  </pic:spPr>
                </pic:pic>
              </a:graphicData>
            </a:graphic>
          </wp:anchor>
        </w:drawing>
      </w:r>
      <w:r>
        <w:rPr>
          <w:rFonts w:cs="Arial" w:ascii="Arial" w:hAnsi="Arial"/>
          <w:sz w:val="20"/>
          <w:szCs w:val="20"/>
        </w:rPr>
        <w:t>60 Bradford Road</w:t>
      </w:r>
    </w:p>
    <w:p>
      <w:pPr>
        <w:pStyle w:val="Header"/>
        <w:jc w:val="right"/>
        <w:rPr>
          <w:rFonts w:ascii="Arial" w:hAnsi="Arial" w:cs="Arial"/>
          <w:sz w:val="20"/>
          <w:szCs w:val="20"/>
        </w:rPr>
      </w:pPr>
      <w:r>
        <w:rPr>
          <w:rFonts w:cs="Arial" w:ascii="Arial" w:hAnsi="Arial"/>
          <w:sz w:val="20"/>
          <w:szCs w:val="20"/>
        </w:rPr>
        <w:t>Huddersfield</w:t>
      </w:r>
    </w:p>
    <w:p>
      <w:pPr>
        <w:pStyle w:val="Header"/>
        <w:jc w:val="right"/>
        <w:rPr>
          <w:rFonts w:ascii="Arial" w:hAnsi="Arial" w:cs="Arial"/>
          <w:sz w:val="20"/>
          <w:szCs w:val="20"/>
        </w:rPr>
      </w:pPr>
      <w:r>
        <w:rPr>
          <w:rFonts w:cs="Arial" w:ascii="Arial" w:hAnsi="Arial"/>
          <w:sz w:val="20"/>
          <w:szCs w:val="20"/>
        </w:rPr>
        <w:t>HD1 6JE</w:t>
      </w:r>
    </w:p>
    <w:p>
      <w:pPr>
        <w:pStyle w:val="Header"/>
        <w:jc w:val="right"/>
        <w:rPr>
          <w:rFonts w:ascii="Arial" w:hAnsi="Arial" w:cs="Arial"/>
          <w:sz w:val="20"/>
          <w:szCs w:val="20"/>
        </w:rPr>
      </w:pPr>
      <w:r>
        <w:rPr>
          <w:rFonts w:cs="Arial" w:ascii="Arial" w:hAnsi="Arial"/>
          <w:sz w:val="20"/>
          <w:szCs w:val="20"/>
        </w:rPr>
        <w:t>Tel: 01484 531964</w:t>
      </w:r>
    </w:p>
    <w:p>
      <w:pPr>
        <w:pStyle w:val="Header"/>
        <w:jc w:val="right"/>
        <w:rPr/>
      </w:pPr>
      <w:r>
        <w:rPr>
          <w:rFonts w:cs="Arial" w:ascii="Arial" w:hAnsi="Arial"/>
          <w:sz w:val="20"/>
          <w:szCs w:val="20"/>
        </w:rPr>
        <w:t>Email: huddsdental@outlook.com</w:t>
      </w:r>
    </w:p>
    <w:p>
      <w:pPr>
        <w:pStyle w:val="Normal"/>
        <w:jc w:val="right"/>
        <w:rPr/>
      </w:pPr>
      <w:r>
        <w:rPr/>
      </w:r>
    </w:p>
    <w:p>
      <w:pPr>
        <w:pStyle w:val="Normal"/>
        <w:jc w:val="right"/>
        <w:rPr>
          <w:sz w:val="20"/>
          <w:szCs w:val="20"/>
        </w:rPr>
      </w:pPr>
      <w:r>
        <w:rPr>
          <w:sz w:val="20"/>
          <w:szCs w:val="20"/>
        </w:rPr>
        <w:t>Updated: 17.</w:t>
      </w:r>
      <w:r>
        <w:rPr>
          <w:sz w:val="20"/>
          <w:szCs w:val="20"/>
        </w:rPr>
        <w:t>08</w:t>
      </w:r>
      <w:r>
        <w:rPr>
          <w:sz w:val="20"/>
          <w:szCs w:val="20"/>
        </w:rPr>
        <w:t>.202</w:t>
      </w:r>
      <w:r>
        <w:rPr>
          <w:sz w:val="20"/>
          <w:szCs w:val="20"/>
        </w:rPr>
        <w:t>6</w:t>
      </w:r>
    </w:p>
    <w:p>
      <w:pPr>
        <w:pStyle w:val="Normal"/>
        <w:jc w:val="center"/>
        <w:rPr>
          <w:sz w:val="20"/>
          <w:szCs w:val="20"/>
        </w:rPr>
      </w:pPr>
      <w:r>
        <w:rPr>
          <w:sz w:val="20"/>
          <w:szCs w:val="20"/>
        </w:rPr>
        <w:t xml:space="preserve">                                                                                                                              </w:t>
      </w:r>
      <w:r>
        <w:rPr>
          <w:sz w:val="20"/>
          <w:szCs w:val="20"/>
        </w:rPr>
        <w:t>Reviewed: 17.</w:t>
      </w:r>
      <w:r>
        <w:rPr>
          <w:sz w:val="20"/>
          <w:szCs w:val="20"/>
        </w:rPr>
        <w:t>08</w:t>
      </w:r>
      <w:r>
        <w:rPr>
          <w:sz w:val="20"/>
          <w:szCs w:val="20"/>
        </w:rPr>
        <w:t>.202</w:t>
      </w:r>
      <w:r>
        <w:rPr>
          <w:sz w:val="20"/>
          <w:szCs w:val="20"/>
        </w:rPr>
        <w:t>6</w:t>
      </w:r>
    </w:p>
    <w:p>
      <w:pPr>
        <w:pStyle w:val="Normal"/>
        <w:rPr>
          <w:sz w:val="20"/>
          <w:szCs w:val="20"/>
        </w:rPr>
      </w:pPr>
      <w:r>
        <w:rPr>
          <w:sz w:val="20"/>
          <w:szCs w:val="20"/>
        </w:rPr>
      </w:r>
    </w:p>
    <w:p>
      <w:pPr>
        <w:pStyle w:val="Normal"/>
        <w:widowControl w:val="false"/>
        <w:spacing w:lineRule="atLeast" w:line="240"/>
        <w:jc w:val="center"/>
        <w:rPr>
          <w:rFonts w:ascii="Trebuchet MS" w:hAnsi="Trebuchet MS" w:cs="Arial"/>
          <w:b/>
          <w:b/>
          <w:color w:val="000000"/>
          <w:sz w:val="36"/>
          <w:szCs w:val="36"/>
        </w:rPr>
      </w:pPr>
      <w:r>
        <w:rPr>
          <w:rFonts w:cs="Arial" w:ascii="Trebuchet MS" w:hAnsi="Trebuchet MS"/>
          <w:b/>
          <w:color w:val="000000"/>
          <w:sz w:val="36"/>
          <w:szCs w:val="36"/>
        </w:rPr>
      </w:r>
    </w:p>
    <w:p>
      <w:pPr>
        <w:pStyle w:val="Normal"/>
        <w:widowControl w:val="false"/>
        <w:spacing w:lineRule="atLeast" w:line="240"/>
        <w:jc w:val="center"/>
        <w:rPr>
          <w:rFonts w:cs="Arial"/>
          <w:b/>
          <w:b/>
          <w:color w:val="000000"/>
          <w:u w:val="single"/>
        </w:rPr>
      </w:pPr>
      <w:r>
        <w:rPr>
          <w:rFonts w:cs="Arial"/>
          <w:b/>
          <w:color w:val="000000"/>
          <w:u w:val="single"/>
        </w:rPr>
        <w:t>Violence and Aggression Policy</w:t>
      </w:r>
    </w:p>
    <w:p>
      <w:pPr>
        <w:pStyle w:val="Normal"/>
        <w:jc w:val="both"/>
        <w:rPr>
          <w:rFonts w:cs="Arial"/>
          <w:b/>
          <w:b/>
          <w:sz w:val="20"/>
          <w:szCs w:val="20"/>
        </w:rPr>
      </w:pPr>
      <w:r>
        <w:rPr>
          <w:rFonts w:cs="Arial"/>
          <w:b/>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This policy is intended to protect everyone who works at the practice from possible harm from violent or aggressive behaviour.  It also helps to fulfil the practice’s obligations to provide a safe place to work.</w:t>
      </w:r>
    </w:p>
    <w:p>
      <w:pPr>
        <w:pStyle w:val="Normal"/>
        <w:ind w:left="426" w:hanging="426"/>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Our philosophy is that violence is unacceptable in whatever form it takes, for whatever reason.</w:t>
      </w:r>
    </w:p>
    <w:p>
      <w:pPr>
        <w:pStyle w:val="Normal"/>
        <w:ind w:left="426" w:hanging="426"/>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It is the responsibility of every member of the practice to take reasonable care of the health and safety of him or herself and of other persons who might be affected by his or her acts and omissions at work.</w:t>
      </w:r>
    </w:p>
    <w:p>
      <w:pPr>
        <w:pStyle w:val="Normal"/>
        <w:ind w:left="426" w:hanging="426"/>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This policy covers everyone who is engaged by the practice including self-employed contractors (for example associates), temporary and casual workers.</w:t>
      </w:r>
    </w:p>
    <w:p>
      <w:pPr>
        <w:pStyle w:val="Normal"/>
        <w:ind w:left="426" w:hanging="426"/>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The operation of this policy is the responsibility of Miss Julie Dawson (Practice Manager).</w:t>
      </w:r>
    </w:p>
    <w:p>
      <w:pPr>
        <w:pStyle w:val="Normal"/>
        <w:ind w:left="426" w:hanging="426"/>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We define violence and aggression as:</w:t>
      </w:r>
    </w:p>
    <w:p>
      <w:pPr>
        <w:pStyle w:val="Normal"/>
        <w:jc w:val="both"/>
        <w:rPr>
          <w:rFonts w:cs="Arial"/>
          <w:sz w:val="20"/>
          <w:szCs w:val="20"/>
        </w:rPr>
      </w:pPr>
      <w:r>
        <w:rPr>
          <w:rFonts w:cs="Arial"/>
          <w:sz w:val="20"/>
          <w:szCs w:val="20"/>
        </w:rPr>
      </w:r>
    </w:p>
    <w:p>
      <w:pPr>
        <w:pStyle w:val="Normal"/>
        <w:numPr>
          <w:ilvl w:val="0"/>
          <w:numId w:val="2"/>
        </w:numPr>
        <w:tabs>
          <w:tab w:val="clear" w:pos="720"/>
        </w:tabs>
        <w:ind w:left="851" w:hanging="426"/>
        <w:jc w:val="both"/>
        <w:rPr>
          <w:rFonts w:cs="Arial"/>
          <w:sz w:val="20"/>
          <w:szCs w:val="20"/>
        </w:rPr>
      </w:pPr>
      <w:r>
        <w:rPr>
          <w:rFonts w:cs="Arial"/>
          <w:sz w:val="20"/>
          <w:szCs w:val="20"/>
        </w:rPr>
        <w:t>Actual or threatened physical assaults on staff.</w:t>
      </w:r>
    </w:p>
    <w:p>
      <w:pPr>
        <w:pStyle w:val="Normal"/>
        <w:numPr>
          <w:ilvl w:val="0"/>
          <w:numId w:val="2"/>
        </w:numPr>
        <w:tabs>
          <w:tab w:val="clear" w:pos="720"/>
        </w:tabs>
        <w:ind w:left="851" w:hanging="426"/>
        <w:jc w:val="both"/>
        <w:rPr>
          <w:rFonts w:cs="Arial"/>
          <w:sz w:val="20"/>
          <w:szCs w:val="20"/>
        </w:rPr>
      </w:pPr>
      <w:r>
        <w:rPr>
          <w:rFonts w:cs="Arial"/>
          <w:sz w:val="20"/>
          <w:szCs w:val="20"/>
        </w:rPr>
        <w:t>Psychological abuse of staff.</w:t>
      </w:r>
    </w:p>
    <w:p>
      <w:pPr>
        <w:pStyle w:val="Normal"/>
        <w:numPr>
          <w:ilvl w:val="0"/>
          <w:numId w:val="2"/>
        </w:numPr>
        <w:tabs>
          <w:tab w:val="clear" w:pos="720"/>
        </w:tabs>
        <w:ind w:left="851" w:hanging="426"/>
        <w:jc w:val="both"/>
        <w:rPr>
          <w:rFonts w:cs="Arial"/>
          <w:sz w:val="20"/>
          <w:szCs w:val="20"/>
        </w:rPr>
      </w:pPr>
      <w:r>
        <w:rPr>
          <w:rFonts w:cs="Arial"/>
          <w:sz w:val="20"/>
          <w:szCs w:val="20"/>
        </w:rPr>
        <w:t>Verbal abuse which includes shouting, swearing and gestures.</w:t>
      </w:r>
    </w:p>
    <w:p>
      <w:pPr>
        <w:pStyle w:val="Normal"/>
        <w:numPr>
          <w:ilvl w:val="0"/>
          <w:numId w:val="2"/>
        </w:numPr>
        <w:tabs>
          <w:tab w:val="clear" w:pos="720"/>
        </w:tabs>
        <w:ind w:left="851" w:hanging="426"/>
        <w:jc w:val="both"/>
        <w:rPr>
          <w:rFonts w:cs="Arial"/>
          <w:sz w:val="20"/>
          <w:szCs w:val="20"/>
        </w:rPr>
      </w:pPr>
      <w:r>
        <w:rPr>
          <w:rFonts w:cs="Arial"/>
          <w:sz w:val="20"/>
          <w:szCs w:val="20"/>
        </w:rPr>
        <w:t>Threats against practice personnel which occur in the workplace.</w:t>
      </w:r>
    </w:p>
    <w:p>
      <w:pPr>
        <w:pStyle w:val="Normal"/>
        <w:ind w:left="426" w:hanging="426"/>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The workplace is defined as the practice premises and all other premises where work is undertaken as part of the person’s official duties.  Travelling to and from the workplace other than practice premises is also included within the definition.</w:t>
      </w:r>
    </w:p>
    <w:p>
      <w:pPr>
        <w:pStyle w:val="Normal"/>
        <w:ind w:left="426" w:hanging="426"/>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To comply with this policy, we will:</w:t>
      </w:r>
    </w:p>
    <w:p>
      <w:pPr>
        <w:pStyle w:val="Normal"/>
        <w:jc w:val="both"/>
        <w:rPr>
          <w:rFonts w:cs="Arial"/>
          <w:sz w:val="20"/>
          <w:szCs w:val="20"/>
        </w:rPr>
      </w:pPr>
      <w:r>
        <w:rPr>
          <w:rFonts w:cs="Arial"/>
          <w:sz w:val="20"/>
          <w:szCs w:val="20"/>
        </w:rPr>
      </w:r>
    </w:p>
    <w:p>
      <w:pPr>
        <w:pStyle w:val="Normal"/>
        <w:numPr>
          <w:ilvl w:val="0"/>
          <w:numId w:val="3"/>
        </w:numPr>
        <w:tabs>
          <w:tab w:val="clear" w:pos="720"/>
        </w:tabs>
        <w:ind w:left="709" w:hanging="283"/>
        <w:jc w:val="both"/>
        <w:rPr>
          <w:rFonts w:cs="Arial"/>
          <w:sz w:val="20"/>
          <w:szCs w:val="20"/>
        </w:rPr>
      </w:pPr>
      <w:r>
        <w:rPr>
          <w:rFonts w:cs="Arial"/>
          <w:sz w:val="20"/>
          <w:szCs w:val="20"/>
        </w:rPr>
        <w:t>Undertake risk assessment.</w:t>
      </w:r>
    </w:p>
    <w:p>
      <w:pPr>
        <w:pStyle w:val="Normal"/>
        <w:numPr>
          <w:ilvl w:val="0"/>
          <w:numId w:val="3"/>
        </w:numPr>
        <w:tabs>
          <w:tab w:val="clear" w:pos="720"/>
        </w:tabs>
        <w:ind w:left="709" w:hanging="283"/>
        <w:jc w:val="both"/>
        <w:rPr>
          <w:rFonts w:cs="Arial"/>
          <w:sz w:val="20"/>
          <w:szCs w:val="20"/>
        </w:rPr>
      </w:pPr>
      <w:r>
        <w:rPr>
          <w:rFonts w:cs="Arial"/>
          <w:sz w:val="20"/>
          <w:szCs w:val="20"/>
        </w:rPr>
        <w:t>Ensure that the practice premises are secure</w:t>
      </w:r>
    </w:p>
    <w:p>
      <w:pPr>
        <w:pStyle w:val="Normal"/>
        <w:numPr>
          <w:ilvl w:val="0"/>
          <w:numId w:val="3"/>
        </w:numPr>
        <w:tabs>
          <w:tab w:val="clear" w:pos="720"/>
        </w:tabs>
        <w:ind w:left="709" w:hanging="283"/>
        <w:jc w:val="both"/>
        <w:rPr>
          <w:rFonts w:cs="Arial"/>
          <w:sz w:val="20"/>
          <w:szCs w:val="20"/>
        </w:rPr>
      </w:pPr>
      <w:r>
        <w:rPr>
          <w:rFonts w:cs="Arial"/>
          <w:sz w:val="20"/>
          <w:szCs w:val="20"/>
        </w:rPr>
        <w:t>Provide regular training in dealing with difficult/aggressive patients.</w:t>
      </w:r>
    </w:p>
    <w:p>
      <w:pPr>
        <w:pStyle w:val="Normal"/>
        <w:numPr>
          <w:ilvl w:val="0"/>
          <w:numId w:val="3"/>
        </w:numPr>
        <w:tabs>
          <w:tab w:val="clear" w:pos="720"/>
        </w:tabs>
        <w:ind w:left="709" w:hanging="283"/>
        <w:jc w:val="both"/>
        <w:rPr>
          <w:rFonts w:cs="Arial"/>
          <w:sz w:val="20"/>
          <w:szCs w:val="20"/>
        </w:rPr>
      </w:pPr>
      <w:r>
        <w:rPr>
          <w:rFonts w:cs="Arial"/>
          <w:sz w:val="20"/>
          <w:szCs w:val="20"/>
        </w:rPr>
        <w:t>Provide training in dealing with assaults.</w:t>
      </w:r>
    </w:p>
    <w:p>
      <w:pPr>
        <w:pStyle w:val="Normal"/>
        <w:numPr>
          <w:ilvl w:val="0"/>
          <w:numId w:val="3"/>
        </w:numPr>
        <w:tabs>
          <w:tab w:val="clear" w:pos="720"/>
        </w:tabs>
        <w:ind w:left="709" w:hanging="283"/>
        <w:jc w:val="both"/>
        <w:rPr>
          <w:rFonts w:cs="Arial"/>
          <w:sz w:val="20"/>
          <w:szCs w:val="20"/>
        </w:rPr>
      </w:pPr>
      <w:r>
        <w:rPr>
          <w:rFonts w:cs="Arial"/>
          <w:sz w:val="20"/>
          <w:szCs w:val="20"/>
        </w:rPr>
        <w:t>Aim to operate an effective appointment system and make the reception area as relaxing as possible to minimise delays and tension.</w:t>
      </w:r>
    </w:p>
    <w:p>
      <w:pPr>
        <w:pStyle w:val="Normal"/>
        <w:numPr>
          <w:ilvl w:val="0"/>
          <w:numId w:val="3"/>
        </w:numPr>
        <w:tabs>
          <w:tab w:val="clear" w:pos="720"/>
        </w:tabs>
        <w:ind w:left="709" w:hanging="283"/>
        <w:jc w:val="both"/>
        <w:rPr>
          <w:rFonts w:cs="Arial"/>
          <w:sz w:val="20"/>
          <w:szCs w:val="20"/>
        </w:rPr>
      </w:pPr>
      <w:r>
        <w:rPr>
          <w:rFonts w:cs="Arial"/>
          <w:sz w:val="20"/>
          <w:szCs w:val="20"/>
        </w:rPr>
        <w:t>Operate a protocol for dealing with out-of-hours emergencies which will include call logging.</w:t>
      </w:r>
    </w:p>
    <w:p>
      <w:pPr>
        <w:pStyle w:val="Normal"/>
        <w:ind w:left="426" w:hanging="426"/>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All incidents (however trivial) must be reported at once to either Miss Julie Dawson (practice manager) or Practice Owner: Mr Harun Hussain and a recording form completed. In the event of any actual or threatened violence, the police will be called. Injuries will be recorded in the accident book.</w:t>
      </w:r>
    </w:p>
    <w:p>
      <w:pPr>
        <w:pStyle w:val="Normal"/>
        <w:ind w:left="426" w:hanging="0"/>
        <w:jc w:val="both"/>
        <w:rPr>
          <w:rFonts w:cs="Arial"/>
          <w:sz w:val="20"/>
          <w:szCs w:val="20"/>
        </w:rPr>
      </w:pPr>
      <w:r>
        <w:rPr>
          <w:rFonts w:cs="Arial"/>
          <w:sz w:val="20"/>
          <w:szCs w:val="20"/>
        </w:rPr>
      </w:r>
    </w:p>
    <w:p>
      <w:pPr>
        <w:pStyle w:val="Normal"/>
        <w:numPr>
          <w:ilvl w:val="0"/>
          <w:numId w:val="1"/>
        </w:numPr>
        <w:tabs>
          <w:tab w:val="clear" w:pos="720"/>
        </w:tabs>
        <w:ind w:left="426" w:hanging="426"/>
        <w:jc w:val="both"/>
        <w:rPr>
          <w:rFonts w:cs="Arial"/>
          <w:sz w:val="20"/>
          <w:szCs w:val="20"/>
        </w:rPr>
      </w:pPr>
      <w:r>
        <w:rPr>
          <w:rFonts w:cs="Arial"/>
          <w:sz w:val="20"/>
          <w:szCs w:val="20"/>
        </w:rPr>
        <w:t>The practice will undertake to provide support, assistance and, if necessary, counselling to members of the practice who are victims of violence and aggression in the course of their work.  In appropriate cases, a discretionary period of sick leave on full pay will be granted.</w:t>
      </w:r>
    </w:p>
    <w:p>
      <w:pPr>
        <w:pStyle w:val="Normal"/>
        <w:widowControl w:val="false"/>
        <w:spacing w:lineRule="atLeast" w:line="240"/>
        <w:jc w:val="both"/>
        <w:rPr>
          <w:rFonts w:cs="Arial"/>
          <w:color w:val="000000"/>
          <w:sz w:val="20"/>
          <w:szCs w:val="20"/>
        </w:rPr>
      </w:pPr>
      <w:r>
        <w:rPr>
          <w:rFonts w:cs="Arial"/>
          <w:sz w:val="20"/>
          <w:szCs w:val="20"/>
        </w:rPr>
        <w:t xml:space="preserve">     </w:t>
      </w:r>
    </w:p>
    <w:p>
      <w:pPr>
        <w:pStyle w:val="Normal"/>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Liberation Sans">
    <w:altName w:val="Arial"/>
    <w:charset w:val="01"/>
    <w:family w:val="swiss"/>
    <w:pitch w:val="variable"/>
  </w:font>
  <w:font w:name="Trebuchet M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bullet"/>
      <w:lvlText w:val=""/>
      <w:lvlJc w:val="left"/>
      <w:pPr>
        <w:tabs>
          <w:tab w:val="num" w:pos="1364"/>
        </w:tabs>
        <w:ind w:left="1364" w:hanging="284"/>
      </w:pPr>
      <w:rPr>
        <w:rFonts w:ascii="Symbol" w:hAnsi="Symbol" w:cs="Symbol" w:hint="default"/>
        <w:color w:val="auto"/>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bullet"/>
      <w:lvlText w:val=""/>
      <w:lvlJc w:val="left"/>
      <w:pPr>
        <w:tabs>
          <w:tab w:val="num" w:pos="1080"/>
        </w:tabs>
        <w:ind w:left="1080" w:hanging="360"/>
      </w:pPr>
      <w:rPr>
        <w:rFonts w:ascii="Symbol" w:hAnsi="Symbol" w:cs="Symbol" w:hint="default"/>
        <w:color w:val="auto"/>
      </w:rPr>
    </w:lvl>
    <w:lvl w:ilvl="1">
      <w:start w:val="1"/>
      <w:numFmt w:val="bullet"/>
      <w:lvlText w:val=""/>
      <w:lvlJc w:val="left"/>
      <w:pPr>
        <w:tabs>
          <w:tab w:val="num" w:pos="1800"/>
        </w:tabs>
        <w:ind w:left="1800" w:hanging="284"/>
      </w:pPr>
      <w:rPr>
        <w:rFonts w:ascii="Symbol" w:hAnsi="Symbol" w:cs="Symbol" w:hint="default"/>
        <w:color w:val="auto"/>
      </w:rPr>
    </w:lvl>
    <w:lvl w:ilvl="2">
      <w:start w:val="1"/>
      <w:numFmt w:val="lowerRoman"/>
      <w:lvlText w:val="%3."/>
      <w:lvlJc w:val="right"/>
      <w:pPr>
        <w:tabs>
          <w:tab w:val="num" w:pos="2596"/>
        </w:tabs>
        <w:ind w:left="2596" w:hanging="180"/>
      </w:pPr>
      <w:rPr/>
    </w:lvl>
    <w:lvl w:ilvl="3">
      <w:start w:val="1"/>
      <w:numFmt w:val="decimal"/>
      <w:lvlText w:val="%4."/>
      <w:lvlJc w:val="left"/>
      <w:pPr>
        <w:tabs>
          <w:tab w:val="num" w:pos="3316"/>
        </w:tabs>
        <w:ind w:left="3316" w:hanging="360"/>
      </w:pPr>
      <w:rPr/>
    </w:lvl>
    <w:lvl w:ilvl="4">
      <w:start w:val="1"/>
      <w:numFmt w:val="lowerLetter"/>
      <w:lvlText w:val="%5."/>
      <w:lvlJc w:val="left"/>
      <w:pPr>
        <w:tabs>
          <w:tab w:val="num" w:pos="4036"/>
        </w:tabs>
        <w:ind w:left="4036" w:hanging="360"/>
      </w:pPr>
      <w:rPr/>
    </w:lvl>
    <w:lvl w:ilvl="5">
      <w:start w:val="1"/>
      <w:numFmt w:val="lowerRoman"/>
      <w:lvlText w:val="%6."/>
      <w:lvlJc w:val="right"/>
      <w:pPr>
        <w:tabs>
          <w:tab w:val="num" w:pos="4756"/>
        </w:tabs>
        <w:ind w:left="4756" w:hanging="180"/>
      </w:pPr>
      <w:rPr/>
    </w:lvl>
    <w:lvl w:ilvl="6">
      <w:start w:val="1"/>
      <w:numFmt w:val="decimal"/>
      <w:lvlText w:val="%7."/>
      <w:lvlJc w:val="left"/>
      <w:pPr>
        <w:tabs>
          <w:tab w:val="num" w:pos="5476"/>
        </w:tabs>
        <w:ind w:left="5476" w:hanging="360"/>
      </w:pPr>
      <w:rPr/>
    </w:lvl>
    <w:lvl w:ilvl="7">
      <w:start w:val="1"/>
      <w:numFmt w:val="lowerLetter"/>
      <w:lvlText w:val="%8."/>
      <w:lvlJc w:val="left"/>
      <w:pPr>
        <w:tabs>
          <w:tab w:val="num" w:pos="6196"/>
        </w:tabs>
        <w:ind w:left="6196" w:hanging="360"/>
      </w:pPr>
      <w:rPr/>
    </w:lvl>
    <w:lvl w:ilvl="8">
      <w:start w:val="1"/>
      <w:numFmt w:val="lowerRoman"/>
      <w:lvlText w:val="%9."/>
      <w:lvlJc w:val="right"/>
      <w:pPr>
        <w:tabs>
          <w:tab w:val="num" w:pos="6916"/>
        </w:tabs>
        <w:ind w:left="6916" w:hanging="180"/>
      </w:pPr>
      <w:rPr/>
    </w:lvl>
  </w:abstractNum>
  <w:abstractNum w:abstractNumId="3">
    <w:lvl w:ilvl="0">
      <w:start w:val="1"/>
      <w:numFmt w:val="bullet"/>
      <w:lvlText w:val=""/>
      <w:lvlJc w:val="left"/>
      <w:pPr>
        <w:tabs>
          <w:tab w:val="num" w:pos="1080"/>
        </w:tabs>
        <w:ind w:left="1080" w:hanging="360"/>
      </w:pPr>
      <w:rPr>
        <w:rFonts w:ascii="Symbol" w:hAnsi="Symbol" w:cs="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b0b24"/>
    <w:pPr>
      <w:widowControl/>
      <w:bidi w:val="0"/>
      <w:spacing w:lineRule="auto" w:line="240" w:before="0" w:after="0"/>
      <w:jc w:val="left"/>
    </w:pPr>
    <w:rPr>
      <w:rFonts w:ascii="Arial" w:hAnsi="Arial" w:eastAsia="Times New Roman" w:cs="Times New Roman"/>
      <w:color w:val="auto"/>
      <w:kern w:val="0"/>
      <w:sz w:val="24"/>
      <w:szCs w:val="24"/>
      <w:lang w:eastAsia="en-GB" w:val="en-GB"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ef0ecc"/>
    <w:rPr>
      <w:color w:val="0000FF" w:themeColor="hyperlink"/>
      <w:u w:val="single"/>
    </w:rPr>
  </w:style>
  <w:style w:type="character" w:styleId="HeaderChar" w:customStyle="1">
    <w:name w:val="Header Char"/>
    <w:basedOn w:val="DefaultParagraphFont"/>
    <w:link w:val="Header"/>
    <w:uiPriority w:val="99"/>
    <w:semiHidden/>
    <w:qFormat/>
    <w:rsid w:val="00394574"/>
    <w:rPr>
      <w:kern w:val="2"/>
      <w14:ligatures w14:val="standardContextua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4b0b24"/>
    <w:pPr>
      <w:ind w:left="720" w:hanging="0"/>
    </w:pPr>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394574"/>
    <w:pPr>
      <w:tabs>
        <w:tab w:val="clear" w:pos="720"/>
        <w:tab w:val="center" w:pos="4513" w:leader="none"/>
        <w:tab w:val="right" w:pos="9026" w:leader="none"/>
      </w:tabs>
    </w:pPr>
    <w:rPr>
      <w:rFonts w:ascii="Calibri" w:hAnsi="Calibri" w:eastAsia="Calibri" w:cs="" w:asciiTheme="minorHAnsi" w:cstheme="minorBidi" w:eastAsiaTheme="minorHAnsi" w:hAnsiTheme="minorHAnsi"/>
      <w:kern w:val="2"/>
      <w:sz w:val="22"/>
      <w:szCs w:val="22"/>
      <w:lang w:eastAsia="en-US"/>
      <w14:ligatures w14:val="standardContextu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LibreOffice/7.3.7.2$Linux_X86_64 LibreOffice_project/30$Build-2</Application>
  <AppVersion>15.0000</AppVersion>
  <Pages>2</Pages>
  <Words>395</Words>
  <Characters>2086</Characters>
  <CharactersWithSpaces>2682</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2025-02-17T14:43:00Z</dcterms:created>
  <dc:creator>Lauren Gammell</dc:creator>
  <dc:description/>
  <dc:language>en-US</dc:language>
  <cp:lastModifiedBy/>
  <dcterms:modified xsi:type="dcterms:W3CDTF">2026-08-17T14:28:10Z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